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t>附件三：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outlineLvl w:val="9"/>
        <w:rPr>
          <w:rFonts w:hint="eastAsia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olor w:val="000000"/>
          <w:kern w:val="0"/>
          <w:sz w:val="40"/>
          <w:szCs w:val="40"/>
          <w:u w:val="none"/>
          <w:lang w:val="en-US" w:eastAsia="zh-CN" w:bidi="ar"/>
        </w:rPr>
        <w:t>评  分  标  准</w:t>
      </w:r>
      <w:bookmarkEnd w:id="0"/>
    </w:p>
    <w:tbl>
      <w:tblPr>
        <w:tblStyle w:val="4"/>
        <w:tblW w:w="1378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0"/>
        <w:gridCol w:w="2685"/>
        <w:gridCol w:w="1725"/>
        <w:gridCol w:w="6915"/>
        <w:gridCol w:w="108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项目名称：</w:t>
            </w:r>
          </w:p>
        </w:tc>
        <w:tc>
          <w:tcPr>
            <w:tcW w:w="113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省文化和旅游厅办公楼室内地面墙面维修及车库地坪漆处理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比选时间：</w:t>
            </w: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2020年8月4日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比选地点：省文化和旅游厅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评分因素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分值（100分）</w:t>
            </w:r>
          </w:p>
        </w:tc>
        <w:tc>
          <w:tcPr>
            <w:tcW w:w="6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评分标准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说明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工程报价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40分</w:t>
            </w:r>
          </w:p>
        </w:tc>
        <w:tc>
          <w:tcPr>
            <w:tcW w:w="6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评分法中的价格分，采用低价优先法计算，即满足招标文件要求、确保项目质量且投标价格最低的投标报价为评标基准价，其价格分为满分。其他投标人的价格分统一按照下列公式计算：投标报价得分=(评标基准价／投标报价)×40分×100%；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13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</w:t>
            </w:r>
          </w:p>
        </w:tc>
        <w:tc>
          <w:tcPr>
            <w:tcW w:w="26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施工方案</w:t>
            </w:r>
          </w:p>
        </w:tc>
        <w:tc>
          <w:tcPr>
            <w:tcW w:w="17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50分</w:t>
            </w:r>
          </w:p>
        </w:tc>
        <w:tc>
          <w:tcPr>
            <w:tcW w:w="6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1、实施方案材料、施工符合标准规范、切合实际、具体可行、清楚明了（20分）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2、施工组织安排合理，现场管理方案规范，进度计划与人员配备可行（20分）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13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6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</w:t>
            </w:r>
            <w:r>
              <w:rPr>
                <w:rStyle w:val="5"/>
                <w:lang w:val="en-US" w:eastAsia="zh-CN" w:bidi="ar"/>
              </w:rPr>
              <w:t>安全、文明、环保施工措施具体，尽可能减少施工对正常办公的影响（10分）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质量保证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5分</w:t>
            </w:r>
          </w:p>
        </w:tc>
        <w:tc>
          <w:tcPr>
            <w:tcW w:w="6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按国家相关规定要求，出具质量保证承诺书，计5分。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文件规范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6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规范完整的得</w:t>
            </w:r>
            <w:r>
              <w:rPr>
                <w:rStyle w:val="6"/>
                <w:rFonts w:eastAsia="宋体"/>
                <w:lang w:val="en-US" w:eastAsia="zh-CN" w:bidi="ar"/>
              </w:rPr>
              <w:t>5</w:t>
            </w:r>
            <w:r>
              <w:rPr>
                <w:rStyle w:val="5"/>
                <w:lang w:val="en-US" w:eastAsia="zh-CN" w:bidi="ar"/>
              </w:rPr>
              <w:t>分；有</w:t>
            </w:r>
            <w:r>
              <w:rPr>
                <w:rStyle w:val="6"/>
                <w:rFonts w:eastAsia="宋体"/>
                <w:lang w:val="en-US" w:eastAsia="zh-CN" w:bidi="ar"/>
              </w:rPr>
              <w:t>1</w:t>
            </w:r>
            <w:r>
              <w:rPr>
                <w:rStyle w:val="5"/>
                <w:lang w:val="en-US" w:eastAsia="zh-CN" w:bidi="ar"/>
              </w:rPr>
              <w:t>项偏差扣</w:t>
            </w:r>
            <w:r>
              <w:rPr>
                <w:rStyle w:val="6"/>
                <w:rFonts w:eastAsia="宋体"/>
                <w:lang w:val="en-US" w:eastAsia="zh-CN" w:bidi="ar"/>
              </w:rPr>
              <w:t>1</w:t>
            </w:r>
            <w:r>
              <w:rPr>
                <w:rStyle w:val="5"/>
                <w:lang w:val="en-US" w:eastAsia="zh-CN" w:bidi="ar"/>
              </w:rPr>
              <w:t>分，直至该项分值扣完为止。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pStyle w:val="2"/>
        <w:rPr>
          <w:rFonts w:hint="default"/>
          <w:lang w:val="en-US" w:eastAsia="zh-CN"/>
        </w:rPr>
      </w:pP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2C2D08"/>
    <w:rsid w:val="7D2C2D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/>
    </w:pPr>
    <w:rPr>
      <w:szCs w:val="20"/>
    </w:rPr>
  </w:style>
  <w:style w:type="character" w:customStyle="1" w:styleId="5">
    <w:name w:val="font6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6">
    <w:name w:val="font0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2020-07-27T04:16:00Z</dcterms:created>
  <dc:creator>NTKO</dc:creator>
  <cp:lastModifiedBy>NTKO</cp:lastModifiedBy>
  <dcterms:modified xsi:type="dcterms:W3CDTF">2020-07-27T04:16:55Z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