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 w:ascii="华文中宋" w:hAnsi="华文中宋" w:eastAsia="华文中宋" w:cs="华文中宋"/>
          <w:b/>
          <w:i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华文中宋" w:hAnsi="华文中宋" w:eastAsia="华文中宋" w:cs="华文中宋"/>
          <w:b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附件一：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outlineLvl w:val="9"/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</w:rPr>
      </w:pPr>
      <w:bookmarkStart w:id="0" w:name="_GoBack"/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  <w:lang w:eastAsia="zh-CN"/>
        </w:rPr>
        <w:t>四川省文化和旅游厅</w:t>
      </w:r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</w:rPr>
        <w:t>办公楼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outlineLvl w:val="9"/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  <w:lang w:eastAsia="zh-CN"/>
        </w:rPr>
      </w:pPr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  <w:lang w:eastAsia="zh-CN"/>
        </w:rPr>
        <w:t>室内地面墙面维修</w:t>
      </w:r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</w:rPr>
        <w:t>及车库地坪漆处理</w:t>
      </w:r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  <w:lang w:eastAsia="zh-CN"/>
        </w:rPr>
        <w:t>项目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outlineLvl w:val="9"/>
        <w:rPr>
          <w:rFonts w:hint="eastAsia" w:ascii="方正小标宋简体" w:eastAsia="方正小标宋简体"/>
          <w:spacing w:val="-2"/>
          <w:sz w:val="32"/>
          <w:szCs w:val="32"/>
          <w:highlight w:val="none"/>
        </w:rPr>
      </w:pPr>
      <w:r>
        <w:rPr>
          <w:rFonts w:hint="eastAsia" w:ascii="方正小标宋简体" w:hAnsi="宋体" w:eastAsia="方正小标宋简体"/>
          <w:spacing w:val="-2"/>
          <w:sz w:val="32"/>
          <w:szCs w:val="32"/>
          <w:highlight w:val="none"/>
        </w:rPr>
        <w:t>实  施  方  案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9"/>
        <w:rPr>
          <w:rFonts w:hint="eastAsia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一、项目概况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9"/>
        <w:rPr>
          <w:rFonts w:hint="eastAsia" w:ascii="仿宋_GB2312" w:hAnsi="宋体"/>
          <w:bCs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 xml:space="preserve">  </w:t>
      </w:r>
      <w:r>
        <w:rPr>
          <w:rFonts w:hint="eastAsia" w:ascii="仿宋_GB2312"/>
          <w:sz w:val="28"/>
          <w:szCs w:val="28"/>
          <w:highlight w:val="none"/>
        </w:rPr>
        <w:t xml:space="preserve"> </w:t>
      </w:r>
      <w:r>
        <w:rPr>
          <w:rFonts w:hint="eastAsia" w:ascii="仿宋_GB2312" w:hAnsi="宋体"/>
          <w:bCs/>
          <w:sz w:val="28"/>
          <w:szCs w:val="28"/>
          <w:highlight w:val="none"/>
          <w:lang w:eastAsia="zh-CN"/>
        </w:rPr>
        <w:t>四川省文化和旅游厅</w:t>
      </w:r>
      <w:r>
        <w:rPr>
          <w:rFonts w:hint="eastAsia" w:ascii="仿宋_GB2312" w:hAnsi="宋体"/>
          <w:bCs/>
          <w:sz w:val="28"/>
          <w:szCs w:val="28"/>
          <w:highlight w:val="none"/>
        </w:rPr>
        <w:t>办公用房为发展大厦2号楼，原为三昌锦业大厦烂尾楼，于2005年动工改造装修，2007年竣工，2008年投入使用。</w:t>
      </w:r>
      <w:r>
        <w:rPr>
          <w:rFonts w:hint="eastAsia" w:ascii="仿宋_GB2312" w:hAnsi="宋体"/>
          <w:bCs/>
          <w:sz w:val="28"/>
          <w:szCs w:val="28"/>
          <w:highlight w:val="none"/>
          <w:lang w:eastAsia="zh-CN"/>
        </w:rPr>
        <w:t>发展大厦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总建筑面积59512.6</w:t>
      </w:r>
      <w:r>
        <w:rPr>
          <w:rFonts w:hint="eastAsia" w:ascii="仿宋_GB2312"/>
          <w:color w:val="000000"/>
          <w:sz w:val="28"/>
          <w:szCs w:val="28"/>
          <w:highlight w:val="none"/>
          <w:lang w:val="en-US" w:eastAsia="zh-CN"/>
        </w:rPr>
        <w:t>0m</w:t>
      </w:r>
      <w:r>
        <w:rPr>
          <w:rFonts w:hint="eastAsia" w:ascii="仿宋_GB2312"/>
          <w:color w:val="000000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hint="eastAsia" w:ascii="仿宋_GB2312"/>
          <w:color w:val="000000"/>
          <w:sz w:val="28"/>
          <w:szCs w:val="28"/>
          <w:highlight w:val="none"/>
          <w:vertAlign w:val="baseline"/>
          <w:lang w:val="en-US" w:eastAsia="zh-CN"/>
        </w:rPr>
        <w:t>，其中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地上</w:t>
      </w:r>
      <w:r>
        <w:rPr>
          <w:rFonts w:hint="eastAsia" w:ascii="仿宋_GB2312"/>
          <w:color w:val="000000"/>
          <w:sz w:val="28"/>
          <w:szCs w:val="28"/>
          <w:highlight w:val="none"/>
        </w:rPr>
        <w:t>建筑面积5</w:t>
      </w:r>
      <w:r>
        <w:rPr>
          <w:rFonts w:hint="eastAsia" w:ascii="仿宋_GB2312"/>
          <w:color w:val="000000"/>
          <w:sz w:val="28"/>
          <w:szCs w:val="28"/>
          <w:highlight w:val="none"/>
          <w:lang w:val="en-US" w:eastAsia="zh-CN"/>
        </w:rPr>
        <w:t>1728.20m</w:t>
      </w:r>
      <w:r>
        <w:rPr>
          <w:rFonts w:hint="eastAsia" w:ascii="仿宋_GB2312"/>
          <w:color w:val="000000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hint="eastAsia" w:ascii="仿宋_GB2312"/>
          <w:color w:val="000000"/>
          <w:sz w:val="28"/>
          <w:szCs w:val="28"/>
          <w:highlight w:val="none"/>
          <w:vertAlign w:val="baseline"/>
          <w:lang w:val="en-US" w:eastAsia="zh-CN"/>
        </w:rPr>
        <w:t>，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地下</w:t>
      </w:r>
      <w:r>
        <w:rPr>
          <w:rFonts w:hint="eastAsia" w:ascii="仿宋_GB2312"/>
          <w:color w:val="000000"/>
          <w:sz w:val="28"/>
          <w:szCs w:val="28"/>
          <w:highlight w:val="none"/>
        </w:rPr>
        <w:t>建筑面积7784.4</w:t>
      </w:r>
      <w:r>
        <w:rPr>
          <w:rFonts w:hint="eastAsia" w:ascii="仿宋_GB2312"/>
          <w:color w:val="000000"/>
          <w:sz w:val="28"/>
          <w:szCs w:val="28"/>
          <w:highlight w:val="none"/>
          <w:lang w:val="en-US" w:eastAsia="zh-CN"/>
        </w:rPr>
        <w:t>0m</w:t>
      </w:r>
      <w:r>
        <w:rPr>
          <w:rFonts w:hint="eastAsia" w:ascii="仿宋_GB2312"/>
          <w:color w:val="000000"/>
          <w:sz w:val="28"/>
          <w:szCs w:val="28"/>
          <w:highlight w:val="none"/>
          <w:vertAlign w:val="superscript"/>
          <w:lang w:val="en-US" w:eastAsia="zh-CN"/>
        </w:rPr>
        <w:t>2</w:t>
      </w:r>
      <w:r>
        <w:rPr>
          <w:rFonts w:hint="eastAsia" w:ascii="仿宋_GB2312"/>
          <w:color w:val="000000"/>
          <w:sz w:val="28"/>
          <w:szCs w:val="28"/>
          <w:highlight w:val="none"/>
        </w:rPr>
        <w:t>。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地面、墙面及车位配件</w:t>
      </w:r>
      <w:r>
        <w:rPr>
          <w:rFonts w:hint="eastAsia" w:ascii="仿宋_GB2312"/>
          <w:color w:val="000000"/>
          <w:sz w:val="28"/>
          <w:szCs w:val="28"/>
          <w:highlight w:val="none"/>
        </w:rPr>
        <w:t>已经正常使用12年，并经历了2008年“5.12”汶川大地震、2014年“4.20”芦山大地震，</w:t>
      </w:r>
      <w:r>
        <w:rPr>
          <w:rFonts w:hint="eastAsia" w:ascii="仿宋_GB2312" w:hAnsi="宋体"/>
          <w:bCs/>
          <w:sz w:val="28"/>
          <w:szCs w:val="28"/>
          <w:highlight w:val="none"/>
        </w:rPr>
        <w:t>现出现安全隐患，使大楼公共安全以及正常使用造成影响。</w:t>
      </w:r>
      <w:r>
        <w:rPr>
          <w:rFonts w:hint="eastAsia" w:ascii="仿宋_GB2312"/>
          <w:color w:val="000000"/>
          <w:sz w:val="28"/>
          <w:szCs w:val="28"/>
          <w:highlight w:val="none"/>
        </w:rPr>
        <w:t>主要存在如下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问题</w:t>
      </w:r>
      <w:r>
        <w:rPr>
          <w:rFonts w:hint="eastAsia" w:ascii="仿宋_GB2312"/>
          <w:color w:val="000000"/>
          <w:sz w:val="28"/>
          <w:szCs w:val="28"/>
          <w:highlight w:val="none"/>
        </w:rPr>
        <w:t>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420" w:firstLineChars="0"/>
        <w:jc w:val="both"/>
        <w:textAlignment w:val="auto"/>
        <w:outlineLvl w:val="9"/>
        <w:rPr>
          <w:rFonts w:hint="eastAsia" w:ascii="仿宋_GB2312"/>
          <w:color w:val="000000"/>
          <w:sz w:val="28"/>
          <w:szCs w:val="28"/>
          <w:highlight w:val="none"/>
          <w:lang w:eastAsia="zh-CN"/>
        </w:rPr>
      </w:pPr>
      <w:r>
        <w:rPr>
          <w:rFonts w:hint="eastAsia" w:ascii="仿宋_GB2312"/>
          <w:color w:val="000000"/>
          <w:sz w:val="28"/>
          <w:szCs w:val="28"/>
          <w:highlight w:val="none"/>
        </w:rPr>
        <w:t>室内地面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瓷砖</w:t>
      </w:r>
      <w:r>
        <w:rPr>
          <w:rFonts w:hint="eastAsia" w:ascii="仿宋_GB2312"/>
          <w:color w:val="000000"/>
          <w:sz w:val="28"/>
          <w:szCs w:val="28"/>
          <w:highlight w:val="none"/>
        </w:rPr>
        <w:t>投入使用已近13年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/>
          <w:color w:val="000000"/>
          <w:sz w:val="28"/>
          <w:szCs w:val="28"/>
          <w:highlight w:val="none"/>
        </w:rPr>
        <w:t>部分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地面瓷砖</w:t>
      </w:r>
      <w:r>
        <w:rPr>
          <w:rFonts w:hint="eastAsia" w:ascii="仿宋_GB2312"/>
          <w:color w:val="000000"/>
          <w:sz w:val="28"/>
          <w:szCs w:val="28"/>
          <w:highlight w:val="none"/>
        </w:rPr>
        <w:t>出现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严重磨损、膨胀、裂缝、翘起等</w:t>
      </w:r>
      <w:r>
        <w:rPr>
          <w:rFonts w:hint="eastAsia" w:ascii="仿宋_GB2312"/>
          <w:color w:val="000000"/>
          <w:sz w:val="28"/>
          <w:szCs w:val="28"/>
          <w:highlight w:val="none"/>
        </w:rPr>
        <w:t>情况；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420" w:firstLineChars="0"/>
        <w:jc w:val="both"/>
        <w:textAlignment w:val="auto"/>
        <w:outlineLvl w:val="9"/>
        <w:rPr>
          <w:rFonts w:hint="eastAsia" w:ascii="仿宋_GB2312"/>
          <w:color w:val="000000"/>
          <w:sz w:val="28"/>
          <w:szCs w:val="28"/>
          <w:highlight w:val="none"/>
        </w:rPr>
      </w:pPr>
      <w:r>
        <w:rPr>
          <w:rFonts w:hint="eastAsia" w:ascii="仿宋_GB2312"/>
          <w:color w:val="000000"/>
          <w:sz w:val="28"/>
          <w:szCs w:val="28"/>
          <w:highlight w:val="none"/>
        </w:rPr>
        <w:t>车库地坪</w:t>
      </w: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出现裂缝、磨损，存在安全隐患；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420" w:firstLineChars="0"/>
        <w:jc w:val="both"/>
        <w:textAlignment w:val="auto"/>
        <w:outlineLvl w:val="9"/>
        <w:rPr>
          <w:rFonts w:hint="eastAsia" w:ascii="仿宋_GB2312"/>
          <w:color w:val="000000"/>
          <w:sz w:val="28"/>
          <w:szCs w:val="28"/>
          <w:highlight w:val="none"/>
          <w:lang w:eastAsia="zh-CN"/>
        </w:rPr>
      </w:pP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车位线磨损，减速带、停车挡位器损坏，不足以满足行车、停车安全需求，</w:t>
      </w:r>
      <w:r>
        <w:rPr>
          <w:rFonts w:hint="eastAsia" w:ascii="仿宋_GB2312"/>
          <w:color w:val="000000"/>
          <w:sz w:val="28"/>
          <w:szCs w:val="28"/>
          <w:highlight w:val="none"/>
        </w:rPr>
        <w:t>存在安全隐患；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420" w:firstLineChars="0"/>
        <w:jc w:val="both"/>
        <w:textAlignment w:val="auto"/>
        <w:outlineLvl w:val="9"/>
        <w:rPr>
          <w:rFonts w:hint="eastAsia" w:ascii="仿宋_GB2312"/>
          <w:color w:val="000000"/>
          <w:sz w:val="28"/>
          <w:szCs w:val="28"/>
          <w:highlight w:val="none"/>
          <w:lang w:eastAsia="zh-CN"/>
        </w:rPr>
      </w:pPr>
      <w:r>
        <w:rPr>
          <w:rFonts w:hint="eastAsia" w:ascii="仿宋_GB2312"/>
          <w:color w:val="000000"/>
          <w:sz w:val="28"/>
          <w:szCs w:val="28"/>
          <w:highlight w:val="none"/>
          <w:lang w:eastAsia="zh-CN"/>
        </w:rPr>
        <w:t>室内多处墙面出现鼓包、掉漆、脱落等情况。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/>
        <w:jc w:val="both"/>
        <w:textAlignment w:val="auto"/>
        <w:outlineLvl w:val="9"/>
        <w:rPr>
          <w:rFonts w:hint="eastAsia" w:ascii="仿宋_GB2312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_GB2312"/>
          <w:color w:val="auto"/>
          <w:sz w:val="28"/>
          <w:szCs w:val="28"/>
          <w:highlight w:val="none"/>
          <w:lang w:eastAsia="zh-CN"/>
        </w:rPr>
        <w:t>有关现状照片资料附后。</w:t>
      </w:r>
    </w:p>
    <w:p>
      <w:pPr>
        <w:numPr>
          <w:ilvl w:val="0"/>
          <w:numId w:val="0"/>
        </w:numPr>
        <w:ind w:left="420" w:leftChars="0"/>
        <w:jc w:val="center"/>
        <w:rPr>
          <w:rFonts w:hint="eastAsia" w:ascii="仿宋_GB2312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_GB2312"/>
          <w:color w:val="FF0000"/>
          <w:sz w:val="28"/>
          <w:szCs w:val="28"/>
          <w:highlight w:val="none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</wp:posOffset>
            </wp:positionH>
            <wp:positionV relativeFrom="page">
              <wp:posOffset>1073785</wp:posOffset>
            </wp:positionV>
            <wp:extent cx="2586990" cy="4610735"/>
            <wp:effectExtent l="0" t="0" r="3810" b="18415"/>
            <wp:wrapSquare wrapText="bothSides"/>
            <wp:docPr id="13" name="图片 13" descr="微信图片_2020030909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3090929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2958465</wp:posOffset>
            </wp:positionH>
            <wp:positionV relativeFrom="page">
              <wp:posOffset>1083310</wp:posOffset>
            </wp:positionV>
            <wp:extent cx="2715260" cy="4000500"/>
            <wp:effectExtent l="0" t="0" r="8890" b="0"/>
            <wp:wrapSquare wrapText="bothSides"/>
            <wp:docPr id="16" name="图片 16" descr="微信图片_2020030909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309092928"/>
                    <pic:cNvPicPr>
                      <a:picLocks noChangeAspect="1"/>
                    </pic:cNvPicPr>
                  </pic:nvPicPr>
                  <pic:blipFill>
                    <a:blip r:embed="rId5"/>
                    <a:srcRect t="17354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inline distT="0" distB="0" distL="114300" distR="114300">
            <wp:extent cx="2869565" cy="1612900"/>
            <wp:effectExtent l="0" t="0" r="6985" b="6350"/>
            <wp:docPr id="6" name="图片 6" descr="微信图片_2020030909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3090929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956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inline distT="0" distB="0" distL="114300" distR="114300">
            <wp:extent cx="2916555" cy="1637030"/>
            <wp:effectExtent l="0" t="0" r="17145" b="1270"/>
            <wp:docPr id="1" name="图片 1" descr="微信图片_2020030909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090929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-27305</wp:posOffset>
            </wp:positionV>
            <wp:extent cx="2879725" cy="2160905"/>
            <wp:effectExtent l="0" t="0" r="15875" b="10795"/>
            <wp:wrapSquare wrapText="bothSides"/>
            <wp:docPr id="11" name="图片 11" descr="c17b738912dff8c8b1f5130028e1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7b738912dff8c8b1f5130028e19e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inline distT="0" distB="0" distL="114300" distR="114300">
            <wp:extent cx="2693035" cy="1591310"/>
            <wp:effectExtent l="0" t="0" r="12065" b="8890"/>
            <wp:docPr id="7" name="图片 7" descr="微信图片_2020030909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3090929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/>
          <w:color w:val="FF0000"/>
          <w:sz w:val="28"/>
          <w:szCs w:val="28"/>
          <w:highlight w:val="none"/>
          <w:lang w:eastAsia="zh-CN"/>
        </w:rPr>
        <w:drawing>
          <wp:inline distT="0" distB="0" distL="114300" distR="114300">
            <wp:extent cx="2780665" cy="2340610"/>
            <wp:effectExtent l="0" t="0" r="635" b="2540"/>
            <wp:docPr id="12" name="图片 12" descr="333465c59d65ea70529f580abd78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3465c59d65ea70529f580abd78a5c"/>
                    <pic:cNvPicPr>
                      <a:picLocks noChangeAspect="1"/>
                    </pic:cNvPicPr>
                  </pic:nvPicPr>
                  <pic:blipFill>
                    <a:blip r:embed="rId10"/>
                    <a:srcRect t="12207" b="24686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06165" cy="2645410"/>
            <wp:effectExtent l="0" t="0" r="13335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/>
          <w:bCs/>
          <w:sz w:val="28"/>
          <w:szCs w:val="28"/>
          <w:highlight w:val="none"/>
        </w:rPr>
        <w:t>二、维修方案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jc w:val="both"/>
        <w:textAlignment w:val="auto"/>
        <w:outlineLvl w:val="9"/>
        <w:rPr>
          <w:rFonts w:hint="eastAsia" w:ascii="仿宋_GB2312"/>
          <w:b/>
          <w:bCs/>
          <w:sz w:val="28"/>
          <w:szCs w:val="28"/>
          <w:highlight w:val="none"/>
        </w:rPr>
      </w:pPr>
      <w:r>
        <w:rPr>
          <w:rFonts w:hint="eastAsia" w:ascii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/>
          <w:b/>
          <w:bCs/>
          <w:sz w:val="28"/>
          <w:szCs w:val="28"/>
          <w:highlight w:val="none"/>
        </w:rPr>
        <w:t>一</w:t>
      </w:r>
      <w:r>
        <w:rPr>
          <w:rFonts w:hint="eastAsia" w:ascii="仿宋_GB2312"/>
          <w:b/>
          <w:bCs/>
          <w:sz w:val="28"/>
          <w:szCs w:val="28"/>
          <w:highlight w:val="none"/>
          <w:lang w:eastAsia="zh-CN"/>
        </w:rPr>
        <w:t>）对办公楼室内地面损坏瓷砖进行更换</w:t>
      </w:r>
      <w:r>
        <w:rPr>
          <w:rFonts w:hint="eastAsia" w:ascii="仿宋_GB2312"/>
          <w:b/>
          <w:bCs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</w:rPr>
      </w:pPr>
      <w:r>
        <w:rPr>
          <w:rFonts w:hint="eastAsia" w:ascii="仿宋_GB2312"/>
          <w:sz w:val="28"/>
          <w:szCs w:val="28"/>
          <w:highlight w:val="none"/>
        </w:rPr>
        <w:t>对</w:t>
      </w:r>
      <w:r>
        <w:rPr>
          <w:rFonts w:hint="eastAsia" w:ascii="仿宋_GB2312"/>
          <w:sz w:val="28"/>
          <w:szCs w:val="28"/>
          <w:highlight w:val="none"/>
          <w:lang w:eastAsia="zh-CN"/>
        </w:rPr>
        <w:t>办公楼室内地面瓷砖进行排查，查找有严重磨损、空鼓、裂缝、翘起的地砖</w:t>
      </w:r>
      <w:r>
        <w:rPr>
          <w:rFonts w:hint="eastAsia" w:ascii="仿宋_GB2312"/>
          <w:sz w:val="28"/>
          <w:szCs w:val="28"/>
          <w:highlight w:val="none"/>
        </w:rPr>
        <w:t>，</w:t>
      </w:r>
      <w:r>
        <w:rPr>
          <w:rFonts w:hint="eastAsia" w:ascii="仿宋_GB2312"/>
          <w:sz w:val="28"/>
          <w:szCs w:val="28"/>
          <w:highlight w:val="none"/>
          <w:lang w:eastAsia="zh-CN"/>
        </w:rPr>
        <w:t>进行更换</w:t>
      </w:r>
      <w:r>
        <w:rPr>
          <w:rFonts w:hint="eastAsia" w:ascii="仿宋_GB2312"/>
          <w:sz w:val="28"/>
          <w:szCs w:val="28"/>
          <w:highlight w:val="none"/>
        </w:rPr>
        <w:t>等，确保</w:t>
      </w:r>
      <w:r>
        <w:rPr>
          <w:rFonts w:hint="eastAsia" w:ascii="仿宋_GB2312"/>
          <w:sz w:val="28"/>
          <w:szCs w:val="28"/>
          <w:highlight w:val="none"/>
          <w:lang w:eastAsia="zh-CN"/>
        </w:rPr>
        <w:t>更换后的地砖符合使用需求，且满足以下规范要求；面层与基层的结合须牢固无空鼓，地面砖的面层洁净、色泽一致、接缝均匀、周边顺直、无裂纹缺角，缺楞现象，地漏处坡度符合要求、无积水，与地漏结合处严密牢固无渗漏</w:t>
      </w:r>
      <w:r>
        <w:rPr>
          <w:rFonts w:hint="eastAsia" w:ascii="仿宋_GB2312"/>
          <w:sz w:val="28"/>
          <w:szCs w:val="28"/>
          <w:highlight w:val="none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480" w:lineRule="exact"/>
        <w:ind w:firstLine="562" w:firstLineChars="200"/>
        <w:textAlignment w:val="auto"/>
        <w:outlineLvl w:val="9"/>
        <w:rPr>
          <w:rFonts w:hint="eastAsia" w:ascii="仿宋_GB2312"/>
          <w:b/>
          <w:bCs/>
          <w:sz w:val="28"/>
          <w:szCs w:val="28"/>
          <w:highlight w:val="none"/>
        </w:rPr>
      </w:pPr>
      <w:r>
        <w:rPr>
          <w:rFonts w:hint="eastAsia" w:ascii="仿宋_GB2312"/>
          <w:b/>
          <w:bCs/>
          <w:sz w:val="28"/>
          <w:szCs w:val="28"/>
          <w:highlight w:val="none"/>
          <w:lang w:eastAsia="zh-CN"/>
        </w:rPr>
        <w:t>（二）对车库原有地坪破除部分进行拆除，混凝土修补，自流平找平，做环氧树脂地坪面漆</w:t>
      </w:r>
      <w:r>
        <w:rPr>
          <w:rFonts w:hint="eastAsia" w:ascii="仿宋_GB2312"/>
          <w:b/>
          <w:bCs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val="zh-CN" w:eastAsia="zh-CN"/>
        </w:rPr>
      </w:pPr>
      <w:r>
        <w:rPr>
          <w:rFonts w:hint="eastAsia" w:ascii="仿宋_GB2312"/>
          <w:sz w:val="28"/>
          <w:szCs w:val="28"/>
          <w:highlight w:val="none"/>
        </w:rPr>
        <w:t>车库</w:t>
      </w:r>
      <w:r>
        <w:rPr>
          <w:rFonts w:hint="eastAsia" w:ascii="仿宋_GB2312"/>
          <w:sz w:val="28"/>
          <w:szCs w:val="28"/>
          <w:highlight w:val="none"/>
          <w:lang w:eastAsia="zh-CN"/>
        </w:rPr>
        <w:t>原有地面部分出现裂缝、严重磨损</w:t>
      </w:r>
      <w:r>
        <w:rPr>
          <w:rFonts w:hint="eastAsia" w:ascii="仿宋_GB2312"/>
          <w:sz w:val="28"/>
          <w:szCs w:val="28"/>
          <w:highlight w:val="none"/>
        </w:rPr>
        <w:t>，对</w:t>
      </w:r>
      <w:r>
        <w:rPr>
          <w:rFonts w:hint="eastAsia" w:ascii="仿宋_GB2312"/>
          <w:sz w:val="28"/>
          <w:szCs w:val="28"/>
          <w:highlight w:val="none"/>
          <w:lang w:eastAsia="zh-CN"/>
        </w:rPr>
        <w:t>这一部分硬化地面进行破除，混凝土修补；对原有完好混凝土地面表面做5mm的打毛处理，清除砼表面的油脂、碎屑、泥土、泥浆并增强原砼道路表面与自流平的粘接性，</w:t>
      </w:r>
      <w:r>
        <w:rPr>
          <w:rFonts w:hint="eastAsia" w:ascii="仿宋_GB2312"/>
          <w:sz w:val="28"/>
          <w:szCs w:val="28"/>
          <w:highlight w:val="none"/>
          <w:lang w:val="zh-CN" w:eastAsia="zh-CN"/>
        </w:rPr>
        <w:t>打毛后调平层表面粗糙度须达到RZ50~100um。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val="zh-CN" w:eastAsia="zh-CN"/>
        </w:rPr>
      </w:pPr>
      <w:r>
        <w:rPr>
          <w:rFonts w:hint="eastAsia" w:ascii="仿宋_GB2312"/>
          <w:sz w:val="28"/>
          <w:szCs w:val="28"/>
          <w:highlight w:val="none"/>
          <w:lang w:val="zh-CN" w:eastAsia="zh-CN"/>
        </w:rPr>
        <w:t>拆除修补部分完成地面高度，须与</w:t>
      </w:r>
      <w:r>
        <w:rPr>
          <w:rFonts w:hint="eastAsia" w:ascii="仿宋_GB2312"/>
          <w:sz w:val="28"/>
          <w:szCs w:val="28"/>
          <w:highlight w:val="none"/>
          <w:lang w:eastAsia="zh-CN"/>
        </w:rPr>
        <w:t>原完整混凝土地面</w:t>
      </w:r>
      <w:r>
        <w:rPr>
          <w:rFonts w:hint="eastAsia" w:ascii="仿宋_GB2312"/>
          <w:sz w:val="28"/>
          <w:szCs w:val="28"/>
          <w:highlight w:val="none"/>
          <w:lang w:val="zh-CN" w:eastAsia="zh-CN"/>
        </w:rPr>
        <w:t>凿毛后地面高度一致，便于自流平找平。自流平水泥之前的地表基层应当平整，干燥，坚固，无灰尘和油污，自流平在地上刮抹之后，应尽快用消泡滚进行放气处理，刮抹和消泡施工人员必须穿上钉鞋，注意每桶自流平水泥之间的高低落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val="zh-CN" w:eastAsia="zh-CN"/>
        </w:rPr>
      </w:pPr>
      <w:r>
        <w:rPr>
          <w:rFonts w:hint="eastAsia" w:ascii="仿宋_GB2312"/>
          <w:sz w:val="28"/>
          <w:szCs w:val="28"/>
          <w:highlight w:val="none"/>
          <w:lang w:val="zh-CN" w:eastAsia="zh-CN"/>
        </w:rPr>
        <w:t>环氧树脂地面表面不能出现发粘现象；平涂型、砂浆型无气泡，自流平允许1个小气泡/10平方米；流平性好，无镘刀痕，大面积接口处基本平整；无浮色发花，颜色均匀一致，大面积接口处允许有极不明显的色差；无粗杂质，但允许有空气中的浮尘掉落在造成的极小缺陷；地坪表面应平整平滑，光泽度应达到设计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b w:val="0"/>
          <w:bCs w:val="0"/>
          <w:sz w:val="28"/>
          <w:szCs w:val="28"/>
          <w:highlight w:val="none"/>
        </w:rPr>
      </w:pPr>
      <w:r>
        <w:rPr>
          <w:rFonts w:hint="eastAsia" w:ascii="仿宋_GB2312"/>
          <w:b w:val="0"/>
          <w:bCs w:val="0"/>
          <w:sz w:val="28"/>
          <w:szCs w:val="28"/>
          <w:highlight w:val="none"/>
          <w:lang w:eastAsia="zh-CN"/>
        </w:rPr>
        <w:t>拆除、重画原有车位停车线，更换老旧减速带、停车档位器</w:t>
      </w:r>
      <w:r>
        <w:rPr>
          <w:rFonts w:hint="eastAsia" w:ascii="仿宋_GB2312"/>
          <w:b w:val="0"/>
          <w:bCs w:val="0"/>
          <w:sz w:val="28"/>
          <w:szCs w:val="2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eastAsia="zh-CN"/>
        </w:rPr>
      </w:pPr>
      <w:r>
        <w:rPr>
          <w:rFonts w:hint="eastAsia" w:ascii="仿宋_GB2312"/>
          <w:sz w:val="28"/>
          <w:szCs w:val="28"/>
          <w:highlight w:val="none"/>
          <w:lang w:eastAsia="zh-CN"/>
        </w:rPr>
        <w:t>冷漆做停车位反光标线，在涂敷标线前，先对标线涂敷处喷涂底油，以确保标线与路面的粘合力。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eastAsia="zh-CN"/>
        </w:rPr>
      </w:pPr>
      <w:r>
        <w:rPr>
          <w:rFonts w:hint="eastAsia" w:ascii="仿宋_GB2312"/>
          <w:sz w:val="28"/>
          <w:szCs w:val="28"/>
          <w:highlight w:val="none"/>
          <w:lang w:eastAsia="zh-CN"/>
        </w:rPr>
        <w:t>更换磨损减速带，减速带应一体成型，外表面应有增大附着力的条纹；每个减速带单元正对车辆行驶方向应有便于夜间辨识的逆反射材料；橡胶减速表面应无气孔，不应有明显的划伤、缺料，颜色应均匀一致，无飞边；减速带若通过螺栓与地面连接，则螺栓孔应为沉孔。减速带各个单元应以可靠方式连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480" w:lineRule="exact"/>
        <w:ind w:firstLine="562" w:firstLineChars="200"/>
        <w:textAlignment w:val="auto"/>
        <w:outlineLvl w:val="9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ascii="仿宋_GB2312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/>
          <w:b/>
          <w:bCs/>
          <w:sz w:val="28"/>
          <w:szCs w:val="28"/>
          <w:highlight w:val="none"/>
        </w:rPr>
        <w:t>三</w:t>
      </w:r>
      <w:r>
        <w:rPr>
          <w:rFonts w:hint="eastAsia" w:ascii="仿宋_GB2312"/>
          <w:b/>
          <w:bCs/>
          <w:sz w:val="28"/>
          <w:szCs w:val="28"/>
          <w:highlight w:val="none"/>
          <w:lang w:eastAsia="zh-CN"/>
        </w:rPr>
        <w:t>）对办公楼内</w:t>
      </w:r>
      <w:r>
        <w:rPr>
          <w:rFonts w:hint="eastAsia" w:ascii="仿宋_GB2312"/>
          <w:b/>
          <w:bCs/>
          <w:color w:val="000000"/>
          <w:sz w:val="28"/>
          <w:szCs w:val="28"/>
          <w:highlight w:val="none"/>
          <w:lang w:eastAsia="zh-CN"/>
        </w:rPr>
        <w:t>多处墙面出现的返潮起碱、鼓包、龟裂、掉漆、脱落、污损等情况，按照有关技术规范进行全面修复。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  <w:lang w:eastAsia="zh-CN"/>
        </w:rPr>
      </w:pPr>
      <w:r>
        <w:rPr>
          <w:rFonts w:hint="eastAsia" w:ascii="仿宋_GB2312"/>
          <w:sz w:val="28"/>
          <w:szCs w:val="28"/>
          <w:highlight w:val="none"/>
          <w:lang w:eastAsia="zh-CN"/>
        </w:rPr>
        <w:t>铲</w:t>
      </w:r>
      <w:r>
        <w:rPr>
          <w:rFonts w:hint="eastAsia" w:ascii="仿宋_GB2312"/>
          <w:sz w:val="28"/>
          <w:szCs w:val="28"/>
          <w:highlight w:val="none"/>
          <w:lang w:val="en-US" w:eastAsia="zh-CN"/>
        </w:rPr>
        <w:t>除办公楼内原有的返潮起碱、鼓包、龟裂、掉漆、脱落、污损等墙面，重做</w:t>
      </w:r>
      <w:r>
        <w:rPr>
          <w:rFonts w:hint="eastAsia" w:ascii="仿宋_GB2312"/>
          <w:sz w:val="28"/>
          <w:szCs w:val="28"/>
          <w:highlight w:val="none"/>
          <w:lang w:eastAsia="zh-CN"/>
        </w:rPr>
        <w:t>或防水底、或砂浆找平、或石膏刮底，或刷墙固，底层处理好后刷环保乳胶面漆。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outlineLvl w:val="9"/>
        <w:rPr>
          <w:rFonts w:hint="eastAsia" w:ascii="仿宋_GB2312"/>
          <w:sz w:val="28"/>
          <w:szCs w:val="28"/>
          <w:highlight w:val="none"/>
        </w:rPr>
      </w:pPr>
      <w:r>
        <w:rPr>
          <w:rFonts w:hint="eastAsia" w:ascii="仿宋_GB2312"/>
          <w:sz w:val="28"/>
          <w:szCs w:val="28"/>
          <w:highlight w:val="none"/>
          <w:lang w:val="en-US" w:eastAsia="zh-CN"/>
        </w:rPr>
        <w:t>乳胶漆涂刷时使用的材料品种、颜色都要符合业主的要求或与原墙面一致；完成墙面没有砂眼,没有刷纹,不允许有透地、漏刷、掉粉、皮碱、起皮、咬色等质量缺陷存在；使用喷枪大面积喷涂时,要求喷点疏密均匀,不能有连皮的现象,不允许有流坠,手触摸时漆膜光滑、不掉粉,保证门窗及灯具、家具等洁净,没有涂料的痕迹；不允许有掉粉、起皮、漏刷、透底、咬底、流挂、疙瘩、刷痕等情况；侧视时,墙面平整无波浪状；使用滚涂时，确保着漆均匀、衔接自然、清除污染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480" w:lineRule="exact"/>
        <w:jc w:val="both"/>
        <w:textAlignment w:val="auto"/>
        <w:outlineLvl w:val="9"/>
        <w:rPr>
          <w:rFonts w:hint="eastAsia" w:ascii="华文中宋" w:hAnsi="华文中宋" w:eastAsia="华文中宋" w:cs="华文中宋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558A8"/>
    <w:multiLevelType w:val="singleLevel"/>
    <w:tmpl w:val="533558A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601080"/>
    <w:rsid w:val="226010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2020-07-27T03:03:00Z</dcterms:created>
  <dc:creator>NTKO</dc:creator>
  <cp:lastModifiedBy>NTKO</cp:lastModifiedBy>
  <dcterms:modified xsi:type="dcterms:W3CDTF">2020-07-27T03:04:50Z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