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64F5" w14:textId="77777777" w:rsidR="00426C47" w:rsidRDefault="00000000">
      <w:pPr>
        <w:spacing w:line="360" w:lineRule="auto"/>
        <w:jc w:val="left"/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附件3</w:t>
      </w:r>
    </w:p>
    <w:p w14:paraId="158AB8F0" w14:textId="77777777" w:rsidR="00426C47" w:rsidRDefault="00426C47">
      <w:pPr>
        <w:spacing w:line="360" w:lineRule="auto"/>
        <w:jc w:val="center"/>
        <w:rPr>
          <w:rFonts w:ascii="华文中宋" w:eastAsia="华文中宋" w:hAnsi="华文中宋"/>
          <w:b/>
          <w:bCs/>
          <w:spacing w:val="-20"/>
          <w:sz w:val="40"/>
          <w:szCs w:val="40"/>
        </w:rPr>
      </w:pPr>
    </w:p>
    <w:p w14:paraId="05E58FEE" w14:textId="77777777" w:rsidR="00426C47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四川省文化市场行政处罚裁量实施标准说明</w:t>
      </w:r>
    </w:p>
    <w:p w14:paraId="52CF4E8A" w14:textId="77777777" w:rsidR="00426C47" w:rsidRDefault="00426C47">
      <w:pPr>
        <w:tabs>
          <w:tab w:val="left" w:pos="8264"/>
        </w:tabs>
        <w:spacing w:line="360" w:lineRule="auto"/>
        <w:jc w:val="left"/>
        <w:rPr>
          <w:rFonts w:ascii="宋体" w:hAnsi="宋体"/>
          <w:b/>
          <w:sz w:val="30"/>
          <w:szCs w:val="30"/>
        </w:rPr>
      </w:pPr>
    </w:p>
    <w:p w14:paraId="7604DCFF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>一、本标准的裁量依据包括但不限于：1.《中华人民共和国旅游法》；2.《旅行社条例》；3.《旅行社条例实施细则》；4.《中国公民出国旅游管理办法》；5.《旅游安全管理办法》；6.《导游人员管理条例》；7.《导游管理办法》；8.《四川省旅游条例》；9.《在线旅游经营服务管理暂行规定》；10.《旅行社责任保险管理办法》；11.《互联网上网服务营业场所管理条例》；12.《互联网文化管理暂行规定》；13.《娱乐场所管理条例》；14.《娱乐场所管理办法》；15.《四川省娱乐场所管理办法》；16.《营业性演出管理条例》；17.《营业性演出管理条例实施细则》；18.《中华人民共和国公共文化服务保障法》；1</w:t>
      </w:r>
      <w:r>
        <w:rPr>
          <w:rFonts w:ascii="仿宋_GB2312" w:eastAsia="仿宋_GB2312" w:hAnsi="仿宋_GB2312"/>
          <w:sz w:val="28"/>
          <w:szCs w:val="22"/>
        </w:rPr>
        <w:t>9.</w:t>
      </w:r>
      <w:r>
        <w:rPr>
          <w:rFonts w:ascii="仿宋_GB2312" w:eastAsia="仿宋_GB2312" w:hAnsi="仿宋_GB2312" w:hint="eastAsia"/>
          <w:sz w:val="28"/>
          <w:szCs w:val="22"/>
        </w:rPr>
        <w:t>《公共文化体育设施条例》；</w:t>
      </w:r>
      <w:r>
        <w:rPr>
          <w:rFonts w:ascii="仿宋_GB2312" w:eastAsia="仿宋_GB2312" w:hAnsi="仿宋_GB2312"/>
          <w:sz w:val="28"/>
          <w:szCs w:val="22"/>
        </w:rPr>
        <w:t>20</w:t>
      </w:r>
      <w:r>
        <w:rPr>
          <w:rFonts w:ascii="仿宋_GB2312" w:eastAsia="仿宋_GB2312" w:hAnsi="仿宋_GB2312" w:hint="eastAsia"/>
          <w:sz w:val="28"/>
          <w:szCs w:val="22"/>
        </w:rPr>
        <w:t>.《艺术品经营管理办法》；2</w:t>
      </w:r>
      <w:r>
        <w:rPr>
          <w:rFonts w:ascii="仿宋_GB2312" w:eastAsia="仿宋_GB2312" w:hAnsi="仿宋_GB2312"/>
          <w:sz w:val="28"/>
          <w:szCs w:val="22"/>
        </w:rPr>
        <w:t>1</w:t>
      </w:r>
      <w:r>
        <w:rPr>
          <w:rFonts w:ascii="仿宋_GB2312" w:eastAsia="仿宋_GB2312" w:hAnsi="仿宋_GB2312" w:hint="eastAsia"/>
          <w:sz w:val="28"/>
          <w:szCs w:val="22"/>
        </w:rPr>
        <w:t>.《社会艺术水平考级管理办法》；2</w:t>
      </w:r>
      <w:r>
        <w:rPr>
          <w:rFonts w:ascii="仿宋_GB2312" w:eastAsia="仿宋_GB2312" w:hAnsi="仿宋_GB2312"/>
          <w:sz w:val="28"/>
          <w:szCs w:val="22"/>
        </w:rPr>
        <w:t>2</w:t>
      </w:r>
      <w:r>
        <w:rPr>
          <w:rFonts w:ascii="仿宋_GB2312" w:eastAsia="仿宋_GB2312" w:hAnsi="仿宋_GB2312" w:hint="eastAsia"/>
          <w:sz w:val="28"/>
          <w:szCs w:val="22"/>
        </w:rPr>
        <w:t>.《中华人民共和国非物质文化遗产法》；2</w:t>
      </w:r>
      <w:r>
        <w:rPr>
          <w:rFonts w:ascii="仿宋_GB2312" w:eastAsia="仿宋_GB2312" w:hAnsi="仿宋_GB2312"/>
          <w:sz w:val="28"/>
          <w:szCs w:val="22"/>
        </w:rPr>
        <w:t>3</w:t>
      </w:r>
      <w:r>
        <w:rPr>
          <w:rFonts w:ascii="仿宋_GB2312" w:eastAsia="仿宋_GB2312" w:hAnsi="仿宋_GB2312" w:hint="eastAsia"/>
          <w:sz w:val="28"/>
          <w:szCs w:val="22"/>
        </w:rPr>
        <w:t>.《四川省非物质文化遗产条例》；2</w:t>
      </w:r>
      <w:r>
        <w:rPr>
          <w:rFonts w:ascii="仿宋_GB2312" w:eastAsia="仿宋_GB2312" w:hAnsi="仿宋_GB2312"/>
          <w:sz w:val="28"/>
          <w:szCs w:val="22"/>
        </w:rPr>
        <w:t>4</w:t>
      </w:r>
      <w:r>
        <w:rPr>
          <w:rFonts w:ascii="仿宋_GB2312" w:eastAsia="仿宋_GB2312" w:hAnsi="仿宋_GB2312" w:hint="eastAsia"/>
          <w:sz w:val="28"/>
          <w:szCs w:val="22"/>
        </w:rPr>
        <w:t>.《国家级非物质文化遗产保护与管理暂行办法》；2</w:t>
      </w:r>
      <w:r>
        <w:rPr>
          <w:rFonts w:ascii="仿宋_GB2312" w:eastAsia="仿宋_GB2312" w:hAnsi="仿宋_GB2312"/>
          <w:sz w:val="28"/>
          <w:szCs w:val="22"/>
        </w:rPr>
        <w:t>5</w:t>
      </w:r>
      <w:r>
        <w:rPr>
          <w:rFonts w:ascii="仿宋_GB2312" w:eastAsia="仿宋_GB2312" w:hAnsi="仿宋_GB2312" w:hint="eastAsia"/>
          <w:sz w:val="28"/>
          <w:szCs w:val="22"/>
        </w:rPr>
        <w:t>.《中华人民共和国未成年人保护法》；2</w:t>
      </w:r>
      <w:r>
        <w:rPr>
          <w:rFonts w:ascii="仿宋_GB2312" w:eastAsia="仿宋_GB2312" w:hAnsi="仿宋_GB2312"/>
          <w:sz w:val="28"/>
          <w:szCs w:val="22"/>
        </w:rPr>
        <w:t>6</w:t>
      </w:r>
      <w:r>
        <w:rPr>
          <w:rFonts w:ascii="仿宋_GB2312" w:eastAsia="仿宋_GB2312" w:hAnsi="仿宋_GB2312" w:hint="eastAsia"/>
          <w:sz w:val="28"/>
          <w:szCs w:val="22"/>
        </w:rPr>
        <w:t>.《涉外文化艺术表演及展览管理规定》；2</w:t>
      </w:r>
      <w:r>
        <w:rPr>
          <w:rFonts w:ascii="仿宋_GB2312" w:eastAsia="仿宋_GB2312" w:hAnsi="仿宋_GB2312"/>
          <w:sz w:val="28"/>
          <w:szCs w:val="22"/>
        </w:rPr>
        <w:t>7</w:t>
      </w:r>
      <w:r>
        <w:rPr>
          <w:rFonts w:ascii="仿宋_GB2312" w:eastAsia="仿宋_GB2312" w:hAnsi="仿宋_GB2312" w:hint="eastAsia"/>
          <w:sz w:val="28"/>
          <w:szCs w:val="22"/>
        </w:rPr>
        <w:t>.《中华人民共和国公共图书馆法》。</w:t>
      </w:r>
    </w:p>
    <w:p w14:paraId="339F0CD0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>二、本标准仅对上述法律法规中存在自由裁量空间的行政处罚条款进</w:t>
      </w:r>
      <w:r>
        <w:rPr>
          <w:rFonts w:ascii="仿宋_GB2312" w:eastAsia="仿宋_GB2312" w:hAnsi="仿宋_GB2312" w:hint="eastAsia"/>
          <w:sz w:val="28"/>
          <w:szCs w:val="22"/>
        </w:rPr>
        <w:lastRenderedPageBreak/>
        <w:t>行量化；对于无自由裁量空间的条款，依照法条规定进行处罚。</w:t>
      </w:r>
    </w:p>
    <w:p w14:paraId="77BB49DF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>三、同一违法行为违反不同法律、法规或者规章的，在适用法律、法规或者规章时应当遵循上位法优先、特别法优先、新法优先的原则。</w:t>
      </w:r>
    </w:p>
    <w:p w14:paraId="670DE6B2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 xml:space="preserve">四、有下列情形之一的，应当依法不予处罚： </w:t>
      </w:r>
    </w:p>
    <w:p w14:paraId="1B583014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 xml:space="preserve">（一）不满十四周岁的未成年人有违法行为的； </w:t>
      </w:r>
    </w:p>
    <w:p w14:paraId="21393AF2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 xml:space="preserve">（二）精神病人、智力残疾人在不能辨认或者不能控制自己行为时有违法行为的； </w:t>
      </w:r>
    </w:p>
    <w:p w14:paraId="2B971AED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 xml:space="preserve">（三）违法行为轻微并及时改正，没有造成危害后果的； </w:t>
      </w:r>
    </w:p>
    <w:p w14:paraId="5EF0B4BC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>（四）当事人有证据足以证明没有主观过错的（法律、行政法规另有规定的，从其规定）；</w:t>
      </w:r>
      <w:hyperlink r:id="rId5" w:history="1"/>
    </w:p>
    <w:p w14:paraId="53528ACE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 xml:space="preserve">（五）法律、法规和规章规定的其他情形。 </w:t>
      </w:r>
    </w:p>
    <w:p w14:paraId="20A3DA01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>初次违法且危害后果轻微并及时改正的，可以不予行政处罚。</w:t>
      </w:r>
    </w:p>
    <w:p w14:paraId="48EF11AF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>对当事人的违法行为依法不予行政处罚的，执法机构应当对当事人进行教育；有第一款第(一)项规定情形的，应当责令其监护人加以管教；有第一款第(二)项规定情形的，应当责令其监护人严加看管和治疗。</w:t>
      </w:r>
    </w:p>
    <w:p w14:paraId="16863EB1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>违法行为在二年内未被发现的，不再给予行政处罚，法律另有规定的除外。</w:t>
      </w:r>
    </w:p>
    <w:p w14:paraId="371FD728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>五、有下列情形之一的，应当依法从轻或者减轻处罚：</w:t>
      </w:r>
    </w:p>
    <w:p w14:paraId="5B8DDE9D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/>
          <w:sz w:val="28"/>
          <w:szCs w:val="22"/>
        </w:rPr>
        <w:t xml:space="preserve">（一）已满十四周岁不满十八周岁的未成年人有违法行为的； </w:t>
      </w:r>
    </w:p>
    <w:p w14:paraId="6CA21901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/>
          <w:sz w:val="28"/>
          <w:szCs w:val="22"/>
        </w:rPr>
        <w:t xml:space="preserve">（二）主动消除或者减轻违法行为危害后果的； </w:t>
      </w:r>
    </w:p>
    <w:p w14:paraId="21A631C1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/>
          <w:sz w:val="28"/>
          <w:szCs w:val="22"/>
        </w:rPr>
        <w:lastRenderedPageBreak/>
        <w:t xml:space="preserve">（三）受他人胁迫或者诱骗有违法行为的； </w:t>
      </w:r>
    </w:p>
    <w:p w14:paraId="7FCF6C49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/>
          <w:sz w:val="28"/>
          <w:szCs w:val="22"/>
        </w:rPr>
        <w:t>（四）主动供述执法机构尚未掌握的违法行为的；</w:t>
      </w:r>
    </w:p>
    <w:p w14:paraId="537A2F0B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/>
          <w:sz w:val="28"/>
          <w:szCs w:val="22"/>
        </w:rPr>
        <w:t>（五）配合执法机构查处违法行为有立功表现的；</w:t>
      </w:r>
    </w:p>
    <w:p w14:paraId="116BA306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/>
          <w:sz w:val="28"/>
          <w:szCs w:val="22"/>
        </w:rPr>
        <w:t>（六）法律、法规、规章规定的其他情形。</w:t>
      </w:r>
    </w:p>
    <w:p w14:paraId="6959D17A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/>
          <w:sz w:val="28"/>
          <w:szCs w:val="22"/>
        </w:rPr>
        <w:t>尚未完全丧失辨认或者控制自己行为能力的精神病人、智力残疾人有违法行为的，可以从轻或者减轻行政处罚。</w:t>
      </w:r>
    </w:p>
    <w:p w14:paraId="35C62D48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>六、本标准中违法行为累计查处次数期限为2个年度（以做出行政处罚决定的时间开始计算），有特殊说明的除外。</w:t>
      </w:r>
    </w:p>
    <w:p w14:paraId="0EC3F595" w14:textId="77777777" w:rsidR="00426C47" w:rsidRDefault="00000000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>七、除法律法规规章另有规定外，本标准所称“以上”“不足”不包含本数，“以下”均含本数；本标准所称“XX至XX”包含本数，另有说明的除外。</w:t>
      </w:r>
    </w:p>
    <w:p w14:paraId="0EB1011D" w14:textId="4C4EFF67" w:rsidR="00426C47" w:rsidRDefault="00000000">
      <w:pPr>
        <w:pStyle w:val="2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>八、执法人员在执法过程中应当结合案件实际情况科学、合理认定违法程度、适用情形等，正确理解适用法律</w:t>
      </w:r>
      <w:r w:rsidR="000577D0">
        <w:rPr>
          <w:rFonts w:ascii="仿宋_GB2312" w:eastAsia="仿宋_GB2312" w:hAnsi="仿宋_GB2312" w:hint="eastAsia"/>
          <w:sz w:val="28"/>
          <w:szCs w:val="22"/>
        </w:rPr>
        <w:t>、</w:t>
      </w:r>
      <w:r>
        <w:rPr>
          <w:rFonts w:ascii="仿宋_GB2312" w:eastAsia="仿宋_GB2312" w:hAnsi="仿宋_GB2312" w:hint="eastAsia"/>
          <w:sz w:val="28"/>
          <w:szCs w:val="22"/>
        </w:rPr>
        <w:t>法规</w:t>
      </w:r>
      <w:r w:rsidR="000577D0">
        <w:rPr>
          <w:rFonts w:ascii="仿宋_GB2312" w:eastAsia="仿宋_GB2312" w:hAnsi="仿宋_GB2312" w:hint="eastAsia"/>
          <w:sz w:val="28"/>
          <w:szCs w:val="22"/>
        </w:rPr>
        <w:t>、</w:t>
      </w:r>
      <w:r>
        <w:rPr>
          <w:rFonts w:ascii="仿宋_GB2312" w:eastAsia="仿宋_GB2312" w:hAnsi="仿宋_GB2312" w:hint="eastAsia"/>
          <w:sz w:val="28"/>
          <w:szCs w:val="22"/>
        </w:rPr>
        <w:t>规章规定。</w:t>
      </w:r>
    </w:p>
    <w:p w14:paraId="378480EA" w14:textId="77777777" w:rsidR="00426C47" w:rsidRDefault="00000000">
      <w:pPr>
        <w:pStyle w:val="2"/>
        <w:ind w:firstLineChars="200" w:firstLine="560"/>
        <w:rPr>
          <w:rFonts w:ascii="仿宋_GB2312" w:eastAsia="仿宋_GB2312" w:hAnsi="仿宋_GB2312"/>
          <w:sz w:val="28"/>
          <w:szCs w:val="22"/>
        </w:rPr>
      </w:pPr>
      <w:r>
        <w:rPr>
          <w:rFonts w:ascii="仿宋_GB2312" w:eastAsia="仿宋_GB2312" w:hAnsi="仿宋_GB2312" w:hint="eastAsia"/>
          <w:sz w:val="28"/>
          <w:szCs w:val="22"/>
        </w:rPr>
        <w:t>九、设区的市、自治州人民政府及其部门可以依照法律、法规、规章以及本标准制定本行政区域内的文化市场行政处罚裁量权基准。县级人民政府及其部门可以在法定范围内，对本标准适用的标准、条件、种类、幅度、方式、时限予以合理细化量化。</w:t>
      </w:r>
    </w:p>
    <w:p w14:paraId="71526081" w14:textId="77777777" w:rsidR="00426C47" w:rsidRDefault="00426C47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2"/>
        </w:rPr>
      </w:pPr>
    </w:p>
    <w:p w14:paraId="004D2A5B" w14:textId="77777777" w:rsidR="00426C47" w:rsidRDefault="00426C47">
      <w:pPr>
        <w:spacing w:line="360" w:lineRule="auto"/>
      </w:pPr>
    </w:p>
    <w:sectPr w:rsidR="00426C4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hideSpellingErrors/>
  <w:hideGrammaticalErrors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3OTljMGYyNjc2NGNkMTg0ZDFmN2ZkOTMyMDAxNDIifQ=="/>
  </w:docVars>
  <w:rsids>
    <w:rsidRoot w:val="5B1D58FE"/>
    <w:rsid w:val="000577D0"/>
    <w:rsid w:val="00141793"/>
    <w:rsid w:val="003E097D"/>
    <w:rsid w:val="00426C47"/>
    <w:rsid w:val="0044122B"/>
    <w:rsid w:val="004A449D"/>
    <w:rsid w:val="005D04E8"/>
    <w:rsid w:val="00647D0D"/>
    <w:rsid w:val="006A3C90"/>
    <w:rsid w:val="006D7EA9"/>
    <w:rsid w:val="00791CD4"/>
    <w:rsid w:val="007D6036"/>
    <w:rsid w:val="00833755"/>
    <w:rsid w:val="00981C98"/>
    <w:rsid w:val="009C67CA"/>
    <w:rsid w:val="009D06A6"/>
    <w:rsid w:val="00CA08C3"/>
    <w:rsid w:val="00CB3F8B"/>
    <w:rsid w:val="00CE36A6"/>
    <w:rsid w:val="00D065E2"/>
    <w:rsid w:val="00DB32C0"/>
    <w:rsid w:val="00EB0610"/>
    <w:rsid w:val="00EB5159"/>
    <w:rsid w:val="00F47B73"/>
    <w:rsid w:val="00F816C7"/>
    <w:rsid w:val="1A9866E9"/>
    <w:rsid w:val="27001CDC"/>
    <w:rsid w:val="29BC4F76"/>
    <w:rsid w:val="2D5D22E3"/>
    <w:rsid w:val="30594C89"/>
    <w:rsid w:val="520146A0"/>
    <w:rsid w:val="5B1D58FE"/>
    <w:rsid w:val="7DF31E45"/>
    <w:rsid w:val="7F5C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5FA9DDB"/>
  <w15:docId w15:val="{C8FE5F58-6AA0-FC41-84A0-CDAC9C2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default"/>
      <w:color w:val="FF0000"/>
      <w:sz w:val="20"/>
      <w:szCs w:val="20"/>
      <w:u w:val="none"/>
    </w:rPr>
  </w:style>
  <w:style w:type="character" w:customStyle="1" w:styleId="font212">
    <w:name w:val="font212"/>
    <w:basedOn w:val="a0"/>
    <w:qFormat/>
    <w:rPr>
      <w:rFonts w:ascii="宋体" w:eastAsia="宋体" w:hAnsi="宋体" w:cs="宋体" w:hint="eastAsia"/>
      <w:b/>
      <w:bCs/>
      <w:color w:val="00CCFF"/>
      <w:sz w:val="18"/>
      <w:szCs w:val="18"/>
      <w:u w:val="none"/>
    </w:rPr>
  </w:style>
  <w:style w:type="character" w:customStyle="1" w:styleId="font191">
    <w:name w:val="font1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1">
    <w:name w:val="修订1"/>
    <w:hidden/>
    <w:uiPriority w:val="99"/>
    <w:semiHidden/>
    <w:qFormat/>
    <w:rPr>
      <w:rFonts w:cstheme="minorBidi"/>
      <w:kern w:val="2"/>
      <w:sz w:val="21"/>
      <w:szCs w:val="24"/>
    </w:rPr>
  </w:style>
  <w:style w:type="character" w:customStyle="1" w:styleId="a6">
    <w:name w:val="批注文字 字符"/>
    <w:basedOn w:val="a0"/>
    <w:link w:val="a4"/>
    <w:qFormat/>
    <w:rPr>
      <w:rFonts w:cstheme="minorBidi"/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rFonts w:cstheme="minorBidi"/>
      <w:b/>
      <w:bCs/>
      <w:kern w:val="2"/>
      <w:sz w:val="21"/>
      <w:szCs w:val="24"/>
    </w:rPr>
  </w:style>
  <w:style w:type="paragraph" w:styleId="a8">
    <w:name w:val="Revision"/>
    <w:hidden/>
    <w:uiPriority w:val="99"/>
    <w:semiHidden/>
    <w:rsid w:val="000577D0"/>
    <w:rPr>
      <w:rFonts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无尤</dc:creator>
  <cp:lastModifiedBy>李艾霞 LI, Bonnie</cp:lastModifiedBy>
  <cp:revision>3</cp:revision>
  <dcterms:created xsi:type="dcterms:W3CDTF">2023-01-18T08:36:00Z</dcterms:created>
  <dcterms:modified xsi:type="dcterms:W3CDTF">2023-01-18T08:36:00Z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48AF2627FE7743109A8D68251D63BC3C</vt:lpwstr>
  </property>
</Properties>
</file>