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Style w:val="5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80" w:lineRule="exact"/>
        <w:jc w:val="center"/>
        <w:textAlignment w:val="auto"/>
        <w:outlineLvl w:val="9"/>
        <w:rPr>
          <w:rStyle w:val="5"/>
          <w:rFonts w:ascii="方正小标宋简体" w:hAnsi="仿宋" w:eastAsia="方正小标宋简体" w:cs="宋体"/>
          <w:b w:val="0"/>
          <w:bCs/>
          <w:color w:val="000000"/>
          <w:sz w:val="44"/>
          <w:szCs w:val="44"/>
        </w:rPr>
      </w:pPr>
      <w:r>
        <w:rPr>
          <w:rStyle w:val="5"/>
          <w:rFonts w:hint="eastAsia" w:ascii="方正小标宋简体" w:hAnsi="仿宋" w:eastAsia="方正小标宋简体" w:cs="宋体"/>
          <w:b w:val="0"/>
          <w:bCs/>
          <w:color w:val="000000"/>
          <w:sz w:val="44"/>
          <w:szCs w:val="44"/>
        </w:rPr>
        <w:t>动漫游戏师任职资格申报评审基本条件</w:t>
      </w:r>
    </w:p>
    <w:p>
      <w:pPr>
        <w:autoSpaceDE w:val="0"/>
        <w:autoSpaceDN w:val="0"/>
        <w:adjustRightInd w:val="0"/>
        <w:spacing w:line="500" w:lineRule="exact"/>
        <w:ind w:firstLine="656" w:firstLineChars="200"/>
        <w:jc w:val="center"/>
        <w:rPr>
          <w:rFonts w:ascii="仿宋" w:hAnsi="仿宋" w:eastAsia="仿宋" w:cs="仿宋_GB2312"/>
          <w:color w:val="000000"/>
          <w:spacing w:val="4"/>
          <w:kern w:val="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第一条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条件适用于在我省动画、漫画、电子游戏专业领域从事策划、编剧、导演、美术设计等工作的专业技术人员。</w:t>
      </w:r>
    </w:p>
    <w:p>
      <w:pPr>
        <w:pStyle w:val="3"/>
        <w:tabs>
          <w:tab w:val="right" w:pos="6120"/>
        </w:tabs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第二条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000000"/>
          <w:spacing w:val="1"/>
          <w:sz w:val="32"/>
          <w:szCs w:val="32"/>
        </w:rPr>
        <w:t>遵守国家法律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和法规，热爱本职工作，有良好的</w:t>
      </w:r>
      <w:r>
        <w:rPr>
          <w:rFonts w:hint="eastAsia" w:ascii="仿宋" w:hAnsi="仿宋" w:eastAsia="仿宋" w:cs="仿宋_GB2312"/>
          <w:color w:val="000000"/>
          <w:spacing w:val="1"/>
          <w:sz w:val="32"/>
          <w:szCs w:val="32"/>
        </w:rPr>
        <w:t>职业道德和敬业精神，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认真履行岗位职责，按要求完成工作任务。任现职期间，出现如下情况之一的，在规定的任职年限基础上延迟申报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（一）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每出现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次年度考核结果为基本合格（基本称职）及以下者，延迟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年申报。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（二）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受到党纪政纪处分的，处分期时间计入延迟申报时间。</w:t>
      </w:r>
      <w:r>
        <w:rPr>
          <w:rFonts w:hint="eastAsia" w:ascii="仿宋_GB2312" w:eastAsia="仿宋_GB2312"/>
          <w:sz w:val="32"/>
          <w:szCs w:val="32"/>
        </w:rPr>
        <w:t>有违法行为的，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处罚期时间计入延迟申报时间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（三）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出现伪造学历、资历、业绩，剽窃他人成果等弄虚作假情形者，延迟2年申报。</w:t>
      </w:r>
    </w:p>
    <w:p>
      <w:pPr>
        <w:pStyle w:val="3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第三条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按照《专业技术人员继续教育规定》（人社部第25号令）等国家和我省有关文件要求，结合工作实际需要，参加继续教育并达到规定要求。</w:t>
      </w:r>
    </w:p>
    <w:p>
      <w:pPr>
        <w:pStyle w:val="3"/>
        <w:tabs>
          <w:tab w:val="right" w:pos="6120"/>
        </w:tabs>
        <w:spacing w:before="0" w:beforeAutospacing="0" w:after="0" w:afterAutospacing="0" w:line="50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第四条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学历、资历条件</w:t>
      </w:r>
    </w:p>
    <w:p>
      <w:pPr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（一）晋升一级动漫游戏师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应具有大学专科以上学历，担任副高职务满5年以上。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（二）晋升二级动漫游戏师，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获得中专学历，担任中级职务7年以上；获得大学专科及本科学历的，担任中级职务5年以上；硕士研究生毕业后，从事本专业工作满7年；博士研究生毕业后，从事本专业工作满2年。</w:t>
      </w:r>
    </w:p>
    <w:p>
      <w:pPr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（三）晋升三级动漫游戏师，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获得</w:t>
      </w:r>
      <w:r>
        <w:rPr>
          <w:rFonts w:hint="eastAsia" w:ascii="仿宋" w:hAnsi="仿宋" w:eastAsia="仿宋"/>
          <w:color w:val="000000"/>
          <w:sz w:val="32"/>
          <w:szCs w:val="32"/>
        </w:rPr>
        <w:t>中专学历，从事本专业工作10年以上；获得大学专科及以上学历的，担任初级职务4年以上；大学专科毕业后，从事本专业工作满7年；大学本科毕业后，从事本专业工作满5年；硕士研究生毕业后，从事本专业工作满2年；博士研究生毕业后, 从事本专业工作。</w:t>
      </w:r>
    </w:p>
    <w:p>
      <w:pPr>
        <w:pStyle w:val="3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第五条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工作能力和业绩条件</w:t>
      </w:r>
    </w:p>
    <w:p>
      <w:pPr>
        <w:pStyle w:val="3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  <w:t>（一）晋升一级动漫游戏师，</w:t>
      </w:r>
      <w:r>
        <w:rPr>
          <w:rFonts w:hint="eastAsia" w:ascii="仿宋" w:hAnsi="仿宋" w:eastAsia="仿宋"/>
          <w:color w:val="000000"/>
          <w:sz w:val="32"/>
          <w:szCs w:val="32"/>
        </w:rPr>
        <w:t>须具有较高的专业理论水平，艺术实践经验丰富，有精湛的创作技巧和深厚的艺术造诣，在动漫游戏创作上形成自己鲜明的艺术风格，创作成果显著，代表作品在全国动漫游戏界有较大影响和知名度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。且具备以下条件：</w:t>
      </w:r>
    </w:p>
    <w:p>
      <w:pPr>
        <w:widowControl/>
        <w:spacing w:line="500" w:lineRule="exact"/>
        <w:ind w:firstLine="480" w:firstLine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1、独立</w:t>
      </w:r>
      <w:r>
        <w:rPr>
          <w:rFonts w:ascii="仿宋" w:hAnsi="仿宋" w:eastAsia="仿宋"/>
          <w:color w:val="000000"/>
          <w:sz w:val="32"/>
          <w:szCs w:val="32"/>
        </w:rPr>
        <w:t>或</w:t>
      </w:r>
      <w:r>
        <w:rPr>
          <w:rFonts w:hint="eastAsia" w:ascii="仿宋" w:hAnsi="仿宋" w:eastAsia="仿宋"/>
          <w:color w:val="000000"/>
          <w:sz w:val="32"/>
          <w:szCs w:val="32"/>
        </w:rPr>
        <w:t>作为第一</w:t>
      </w:r>
      <w:r>
        <w:rPr>
          <w:rFonts w:ascii="仿宋" w:hAnsi="仿宋" w:eastAsia="仿宋"/>
          <w:color w:val="000000"/>
          <w:sz w:val="32"/>
          <w:szCs w:val="32"/>
        </w:rPr>
        <w:t>完成人</w:t>
      </w:r>
      <w:r>
        <w:rPr>
          <w:rFonts w:hint="eastAsia" w:ascii="仿宋" w:hAnsi="仿宋" w:eastAsia="仿宋"/>
          <w:color w:val="000000"/>
          <w:sz w:val="32"/>
          <w:szCs w:val="32"/>
        </w:rPr>
        <w:t>创作动漫游戏作品2部以上，</w:t>
      </w:r>
      <w:r>
        <w:rPr>
          <w:rFonts w:ascii="仿宋" w:hAnsi="仿宋" w:eastAsia="仿宋"/>
          <w:color w:val="000000"/>
          <w:sz w:val="32"/>
          <w:szCs w:val="32"/>
        </w:rPr>
        <w:t>并公开</w:t>
      </w:r>
      <w:r>
        <w:rPr>
          <w:rFonts w:hint="eastAsia" w:ascii="仿宋" w:hAnsi="仿宋" w:eastAsia="仿宋"/>
          <w:color w:val="000000"/>
          <w:sz w:val="32"/>
          <w:szCs w:val="32"/>
        </w:rPr>
        <w:t>出版、</w:t>
      </w:r>
      <w:r>
        <w:rPr>
          <w:rFonts w:ascii="仿宋" w:hAnsi="仿宋" w:eastAsia="仿宋"/>
          <w:color w:val="000000"/>
          <w:sz w:val="32"/>
          <w:szCs w:val="32"/>
        </w:rPr>
        <w:t>发行播映或上线运营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widowControl/>
        <w:spacing w:line="500" w:lineRule="exact"/>
        <w:ind w:firstLine="480" w:firstLineChars="15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2、作品2次以上获全国性评奖二等奖或全省性评奖一等奖；或有1部以上作品参加国际性较高影响力的动漫</w:t>
      </w:r>
      <w:r>
        <w:rPr>
          <w:rFonts w:ascii="仿宋" w:hAnsi="仿宋" w:eastAsia="仿宋"/>
          <w:color w:val="000000"/>
          <w:sz w:val="32"/>
          <w:szCs w:val="32"/>
        </w:rPr>
        <w:t>游戏</w:t>
      </w:r>
      <w:r>
        <w:rPr>
          <w:rFonts w:hint="eastAsia" w:ascii="仿宋" w:hAnsi="仿宋" w:eastAsia="仿宋"/>
          <w:color w:val="000000"/>
          <w:sz w:val="32"/>
          <w:szCs w:val="32"/>
        </w:rPr>
        <w:t>展览节会或</w:t>
      </w:r>
      <w:r>
        <w:rPr>
          <w:rFonts w:ascii="仿宋" w:hAnsi="仿宋" w:eastAsia="仿宋"/>
          <w:color w:val="000000"/>
          <w:sz w:val="32"/>
          <w:szCs w:val="32"/>
        </w:rPr>
        <w:t>电影电视节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且在其中担任前</w:t>
      </w:r>
      <w:r>
        <w:rPr>
          <w:rFonts w:hint="eastAsia" w:ascii="仿宋" w:hAnsi="仿宋" w:eastAsia="仿宋"/>
          <w:color w:val="000000"/>
          <w:sz w:val="32"/>
          <w:szCs w:val="32"/>
        </w:rPr>
        <w:t>2位</w:t>
      </w:r>
      <w:r>
        <w:rPr>
          <w:rFonts w:ascii="仿宋" w:hAnsi="仿宋" w:eastAsia="仿宋"/>
          <w:color w:val="000000"/>
          <w:sz w:val="32"/>
          <w:szCs w:val="32"/>
        </w:rPr>
        <w:t>的主创人员</w:t>
      </w:r>
      <w:r>
        <w:rPr>
          <w:rFonts w:hint="eastAsia" w:ascii="仿宋" w:hAnsi="仿宋" w:eastAsia="仿宋"/>
          <w:color w:val="000000"/>
          <w:sz w:val="32"/>
          <w:szCs w:val="32"/>
        </w:rPr>
        <w:t>；或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有2部以上作品参加国家级动漫</w:t>
      </w:r>
      <w:r>
        <w:rPr>
          <w:rFonts w:ascii="仿宋" w:hAnsi="仿宋" w:eastAsia="仿宋" w:cs="Arial"/>
          <w:color w:val="000000"/>
          <w:sz w:val="32"/>
          <w:szCs w:val="32"/>
        </w:rPr>
        <w:t>游戏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展览节会或</w:t>
      </w:r>
      <w:r>
        <w:rPr>
          <w:rFonts w:ascii="仿宋" w:hAnsi="仿宋" w:eastAsia="仿宋" w:cs="Arial"/>
          <w:color w:val="000000"/>
          <w:sz w:val="32"/>
          <w:szCs w:val="32"/>
        </w:rPr>
        <w:t>电影电视节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，</w:t>
      </w:r>
      <w:r>
        <w:rPr>
          <w:rFonts w:ascii="仿宋" w:hAnsi="仿宋" w:eastAsia="仿宋" w:cs="Arial"/>
          <w:color w:val="000000"/>
          <w:sz w:val="32"/>
          <w:szCs w:val="32"/>
        </w:rPr>
        <w:t>且在其中担任前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2位</w:t>
      </w:r>
      <w:r>
        <w:rPr>
          <w:rFonts w:ascii="仿宋" w:hAnsi="仿宋" w:eastAsia="仿宋" w:cs="Arial"/>
          <w:color w:val="000000"/>
          <w:sz w:val="32"/>
          <w:szCs w:val="32"/>
        </w:rPr>
        <w:t>的主创人员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。</w:t>
      </w:r>
    </w:p>
    <w:p>
      <w:pPr>
        <w:pStyle w:val="7"/>
        <w:spacing w:line="5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3、公开出版个人作品集</w:t>
      </w:r>
      <w:r>
        <w:rPr>
          <w:rFonts w:ascii="仿宋" w:hAnsi="仿宋" w:eastAsia="仿宋" w:cs="Arial"/>
          <w:color w:val="000000"/>
          <w:sz w:val="32"/>
          <w:szCs w:val="32"/>
        </w:rPr>
        <w:t>1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部；或</w:t>
      </w:r>
      <w:r>
        <w:rPr>
          <w:rFonts w:hint="eastAsia" w:ascii="仿宋" w:hAnsi="仿宋" w:eastAsia="仿宋"/>
          <w:color w:val="000000"/>
          <w:sz w:val="32"/>
          <w:szCs w:val="32"/>
        </w:rPr>
        <w:t>独立（或作为第一作者）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公开发表有较高水平的专业论文</w:t>
      </w:r>
      <w:r>
        <w:rPr>
          <w:rFonts w:ascii="仿宋" w:hAnsi="仿宋" w:eastAsia="仿宋" w:cs="Arial"/>
          <w:color w:val="000000"/>
          <w:sz w:val="32"/>
          <w:szCs w:val="32"/>
        </w:rPr>
        <w:t>2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篇以上</w:t>
      </w:r>
      <w:r>
        <w:rPr>
          <w:rFonts w:hint="eastAsia" w:ascii="仿宋" w:hAnsi="仿宋" w:eastAsia="仿宋"/>
          <w:color w:val="000000"/>
          <w:sz w:val="32"/>
          <w:szCs w:val="32"/>
        </w:rPr>
        <w:t>。在“四大片区”贫困县或少数民族地区县工作的专业技术人员可不作此要求。</w:t>
      </w:r>
    </w:p>
    <w:p>
      <w:pPr>
        <w:pStyle w:val="3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  <w:t>（二）晋升二级动漫游戏师，</w:t>
      </w:r>
      <w:r>
        <w:rPr>
          <w:rFonts w:hint="eastAsia" w:ascii="仿宋" w:hAnsi="仿宋" w:eastAsia="仿宋"/>
          <w:color w:val="000000"/>
          <w:sz w:val="32"/>
          <w:szCs w:val="32"/>
        </w:rPr>
        <w:t>须具有良好的专业理论修养，艺术实践经验丰富，有较高的创作技巧和艺术造诣，作品有较独特的艺术风格，创作成果突出，代表性作品在全省动漫游戏界有一定知名度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。且具备下列条件：</w:t>
      </w:r>
    </w:p>
    <w:p>
      <w:pPr>
        <w:pStyle w:val="3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1、独立</w:t>
      </w:r>
      <w:r>
        <w:rPr>
          <w:rFonts w:ascii="仿宋" w:hAnsi="仿宋" w:eastAsia="仿宋" w:cs="宋体"/>
          <w:color w:val="000000"/>
          <w:sz w:val="32"/>
          <w:szCs w:val="32"/>
        </w:rPr>
        <w:t>或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作为第一</w:t>
      </w:r>
      <w:r>
        <w:rPr>
          <w:rFonts w:ascii="仿宋" w:hAnsi="仿宋" w:eastAsia="仿宋" w:cs="宋体"/>
          <w:color w:val="000000"/>
          <w:sz w:val="32"/>
          <w:szCs w:val="32"/>
        </w:rPr>
        <w:t>完成人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创作动漫游戏作品1部以上，</w:t>
      </w:r>
      <w:r>
        <w:rPr>
          <w:rFonts w:ascii="仿宋" w:hAnsi="仿宋" w:eastAsia="仿宋" w:cs="宋体"/>
          <w:color w:val="000000"/>
          <w:sz w:val="32"/>
          <w:szCs w:val="32"/>
        </w:rPr>
        <w:t>并公开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出版、</w:t>
      </w:r>
      <w:r>
        <w:rPr>
          <w:rFonts w:ascii="仿宋" w:hAnsi="仿宋" w:eastAsia="仿宋" w:cs="宋体"/>
          <w:color w:val="000000"/>
          <w:sz w:val="32"/>
          <w:szCs w:val="32"/>
        </w:rPr>
        <w:t>发行播映或上线运营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/>
          <w:kern w:val="0"/>
          <w:sz w:val="32"/>
          <w:szCs w:val="32"/>
        </w:rPr>
        <w:t>2、有2次</w:t>
      </w:r>
      <w:r>
        <w:rPr>
          <w:rFonts w:hint="eastAsia" w:ascii="仿宋" w:hAnsi="仿宋" w:eastAsia="仿宋"/>
          <w:color w:val="000000"/>
          <w:sz w:val="32"/>
          <w:szCs w:val="32"/>
        </w:rPr>
        <w:t>以上</w:t>
      </w:r>
      <w:r>
        <w:rPr>
          <w:rFonts w:hint="eastAsia" w:ascii="仿宋" w:hAnsi="仿宋" w:eastAsia="仿宋" w:cs="仿宋_GB2312"/>
          <w:bCs/>
          <w:color w:val="000000"/>
          <w:kern w:val="0"/>
          <w:sz w:val="32"/>
          <w:szCs w:val="32"/>
        </w:rPr>
        <w:t>获</w:t>
      </w:r>
      <w:r>
        <w:rPr>
          <w:rFonts w:hint="eastAsia" w:ascii="仿宋" w:hAnsi="仿宋" w:eastAsia="仿宋"/>
          <w:color w:val="000000"/>
          <w:sz w:val="32"/>
          <w:szCs w:val="32"/>
        </w:rPr>
        <w:t>全国性评奖三等奖或全省性评奖二等奖；或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有1部以上作品参加国家级动漫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游戏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展览节会或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电影电视节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且在其中担任前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2位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的主创人员。</w:t>
      </w:r>
    </w:p>
    <w:p>
      <w:pPr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3、公开出版个人作品集1部；或独立（或作为第一作者）公开发表有较高水平的专业论文1篇以上。在“四大片区”贫困县或少数民族地区县工作的专业技术人员可不作此要求。</w:t>
      </w:r>
    </w:p>
    <w:p>
      <w:pPr>
        <w:pStyle w:val="3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  <w:t>（三）晋升三级动漫游戏师，</w:t>
      </w:r>
      <w:r>
        <w:rPr>
          <w:rFonts w:hint="eastAsia" w:ascii="仿宋" w:hAnsi="仿宋" w:eastAsia="仿宋"/>
          <w:color w:val="000000"/>
          <w:sz w:val="32"/>
          <w:szCs w:val="32"/>
        </w:rPr>
        <w:t>应具备下列条件：</w:t>
      </w:r>
    </w:p>
    <w:p>
      <w:pPr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1、具备专业理论知识，能对自己的工作实践有所总结。</w:t>
      </w:r>
    </w:p>
    <w:p>
      <w:pPr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2、努力深入生活，熟练掌握动漫游戏创作技巧，有较好的艺术表现能力和独立创作动漫游戏作品的能力，在社会上得到好评。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76F3B"/>
    <w:rsid w:val="18AF12FA"/>
    <w:rsid w:val="4817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styleId="3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5">
    <w:name w:val="Strong"/>
    <w:qFormat/>
    <w:uiPriority w:val="22"/>
    <w:rPr>
      <w:rFonts w:cs="Times New Roman"/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2021-09-29T02:36:00Z</dcterms:created>
  <dc:creator>NTKO</dc:creator>
  <cp:lastModifiedBy>NTKO</cp:lastModifiedBy>
  <dcterms:modified xsi:type="dcterms:W3CDTF">2021-09-29T02:37:36Z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