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  <w:t>四川省文化和旅游系统第一批“省内通办”事项表</w:t>
      </w:r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 w:bidi="ar"/>
        </w:rPr>
      </w:pPr>
    </w:p>
    <w:tbl>
      <w:tblPr>
        <w:tblStyle w:val="3"/>
        <w:tblW w:w="12744" w:type="dxa"/>
        <w:tblInd w:w="7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6568"/>
        <w:gridCol w:w="2700"/>
        <w:gridCol w:w="17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“省内通办”事项名称（一体化平台主项）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行使层级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业务模式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从事经营性互联网文化活动审批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全程网办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演出经纪机构从事营业性演出活动审批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全程网办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firstLine="1440" w:firstLineChars="400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shd w:val="clear" w:fill="auto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94ED8"/>
    <w:rsid w:val="0C59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2021-09-24T08:30:00Z</dcterms:created>
  <dc:creator>NTKO</dc:creator>
  <cp:lastModifiedBy>NTKO</cp:lastModifiedBy>
  <dcterms:modified xsi:type="dcterms:W3CDTF">2021-09-24T08:30:40Z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