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tbl>
      <w:tblPr>
        <w:tblStyle w:val="5"/>
        <w:tblW w:w="962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0"/>
        <w:gridCol w:w="1182"/>
        <w:gridCol w:w="1188"/>
        <w:gridCol w:w="1185"/>
        <w:gridCol w:w="1360"/>
        <w:gridCol w:w="1100"/>
        <w:gridCol w:w="1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  <w:t>全省动漫游戏专业人才队伍情况统计表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6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填报单位（盖章）：</w:t>
            </w:r>
          </w:p>
        </w:tc>
        <w:tc>
          <w:tcPr>
            <w:tcW w:w="48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动漫游戏专业技术人员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动画专业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漫画专业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游戏专业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动漫产业管理类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根据实际填写专业）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…</w:t>
            </w: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正高人数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副高人数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中级人数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初级及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以下人数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注：“其他动漫游戏专业技术人员”栏可以根据实际本地实际填写具体的专业，“……”栏目可增加。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、动画专业包括：动画导演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动画编剧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策划、产业研究、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动画特效合成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角色设计、场景设计、原画、建模、贴图、材质、灯光、动作、渲染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动画音乐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等。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2、漫画专业包括：漫画编剧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漫画设计等。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3、游戏专业包括：概念设计、角色设计、场景设计、特效设计、模型、贴图、动画等。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4、动漫产业管理类包括：管理运营、策划运营等。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1172E"/>
    <w:rsid w:val="1A1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640" w:firstLineChars="200"/>
    </w:pPr>
  </w:style>
  <w:style w:type="paragraph" w:styleId="3">
    <w:name w:val="Body Text Indent"/>
    <w:basedOn w:val="1"/>
    <w:qFormat/>
    <w:uiPriority w:val="0"/>
    <w:pPr>
      <w:ind w:firstLine="624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2021-05-06T09:08:00Z</dcterms:created>
  <dc:creator>NTKO</dc:creator>
  <cp:lastModifiedBy>NTKO</cp:lastModifiedBy>
  <dcterms:modified xsi:type="dcterms:W3CDTF">2021-05-06T09:09:03Z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