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b w:val="0"/>
          <w:bCs/>
          <w:sz w:val="44"/>
          <w:szCs w:val="44"/>
          <w:shd w:val="clear" w:color="auto" w:fill="FFFFFF"/>
        </w:rPr>
      </w:pPr>
      <w:r>
        <w:rPr>
          <w:rFonts w:hAnsi="黑体" w:eastAsia="黑体"/>
          <w:b w:val="0"/>
          <w:bCs/>
          <w:sz w:val="32"/>
          <w:szCs w:val="32"/>
          <w:shd w:val="clear" w:color="auto" w:fill="FFFFFF"/>
        </w:rPr>
        <w:t>附件</w:t>
      </w:r>
      <w:r>
        <w:rPr>
          <w:b w:val="0"/>
          <w:bCs/>
          <w:sz w:val="44"/>
          <w:szCs w:val="44"/>
          <w:shd w:val="clear" w:color="auto" w:fill="FFFFFF"/>
        </w:rPr>
        <w:t xml:space="preserve">    </w:t>
      </w:r>
    </w:p>
    <w:p>
      <w:pPr>
        <w:shd w:val="solid" w:color="FFFFFF" w:fill="auto"/>
        <w:autoSpaceDN w:val="0"/>
        <w:spacing w:line="600" w:lineRule="exact"/>
        <w:jc w:val="center"/>
        <w:rPr>
          <w:rFonts w:eastAsia="方正小标宋简体"/>
          <w:b w:val="0"/>
          <w:bCs/>
          <w:sz w:val="44"/>
          <w:szCs w:val="44"/>
          <w:shd w:val="clear" w:color="auto" w:fill="FFFFFF"/>
        </w:rPr>
      </w:pPr>
      <w:bookmarkStart w:id="0" w:name="_GoBack"/>
      <w:r>
        <w:rPr>
          <w:rFonts w:eastAsia="方正小标宋简体"/>
          <w:b w:val="0"/>
          <w:bCs/>
          <w:sz w:val="44"/>
          <w:szCs w:val="44"/>
          <w:shd w:val="clear" w:color="auto" w:fill="FFFFFF"/>
        </w:rPr>
        <w:t>四川省第十</w:t>
      </w:r>
      <w:r>
        <w:rPr>
          <w:rFonts w:hint="eastAsia" w:eastAsia="方正小标宋简体"/>
          <w:b w:val="0"/>
          <w:bCs/>
          <w:sz w:val="44"/>
          <w:szCs w:val="44"/>
          <w:shd w:val="clear" w:color="auto" w:fill="FFFFFF"/>
        </w:rPr>
        <w:t>八</w:t>
      </w:r>
      <w:r>
        <w:rPr>
          <w:rFonts w:eastAsia="方正小标宋简体"/>
          <w:b w:val="0"/>
          <w:bCs/>
          <w:sz w:val="44"/>
          <w:szCs w:val="44"/>
          <w:shd w:val="clear" w:color="auto" w:fill="FFFFFF"/>
        </w:rPr>
        <w:t>届戏剧小品（小戏）比赛作品申报表</w:t>
      </w:r>
      <w:bookmarkEnd w:id="0"/>
    </w:p>
    <w:p>
      <w:pPr>
        <w:shd w:val="solid" w:color="FFFFFF" w:fill="auto"/>
        <w:autoSpaceDN w:val="0"/>
        <w:spacing w:line="600" w:lineRule="exact"/>
        <w:jc w:val="left"/>
        <w:rPr>
          <w:rFonts w:hint="eastAsia" w:ascii="仿宋_GB2312" w:eastAsia="仿宋_GB2312"/>
          <w:b w:val="0"/>
          <w:bCs/>
          <w:sz w:val="24"/>
        </w:rPr>
      </w:pPr>
      <w:r>
        <w:rPr>
          <w:rFonts w:hint="eastAsia" w:ascii="仿宋_GB2312" w:hAnsi="仿宋" w:eastAsia="仿宋_GB2312"/>
          <w:b w:val="0"/>
          <w:bCs/>
          <w:sz w:val="32"/>
          <w:szCs w:val="32"/>
          <w:shd w:val="clear" w:color="auto" w:fill="FFFFFF"/>
        </w:rPr>
        <w:t>申报单位（盖章）：</w:t>
      </w:r>
      <w:r>
        <w:rPr>
          <w:rFonts w:hint="eastAsia" w:ascii="仿宋_GB2312" w:eastAsia="仿宋_GB2312"/>
          <w:b w:val="0"/>
          <w:bCs/>
          <w:sz w:val="32"/>
          <w:szCs w:val="32"/>
          <w:shd w:val="clear" w:color="auto" w:fill="FFFFFF"/>
        </w:rPr>
        <w:t xml:space="preserve">                                          </w:t>
      </w:r>
      <w:r>
        <w:rPr>
          <w:rFonts w:hint="eastAsia" w:ascii="仿宋_GB2312" w:hAnsi="仿宋" w:eastAsia="仿宋_GB2312"/>
          <w:b w:val="0"/>
          <w:bCs/>
          <w:sz w:val="32"/>
          <w:szCs w:val="32"/>
          <w:shd w:val="clear" w:color="auto" w:fill="FFFFFF"/>
        </w:rPr>
        <w:t>申报日期：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shd w:val="clear" w:color="auto" w:fill="FFFFFF"/>
        </w:rPr>
        <w:t xml:space="preserve">                    </w:t>
      </w:r>
    </w:p>
    <w:tbl>
      <w:tblPr>
        <w:tblStyle w:val="3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276"/>
        <w:gridCol w:w="2409"/>
        <w:gridCol w:w="1276"/>
        <w:gridCol w:w="1276"/>
        <w:gridCol w:w="2126"/>
        <w:gridCol w:w="241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 w:val="0"/>
                <w:bCs/>
                <w:sz w:val="24"/>
              </w:rPr>
            </w:pPr>
            <w:r>
              <w:rPr>
                <w:rFonts w:hAnsi="黑体" w:eastAsia="黑体"/>
                <w:b w:val="0"/>
                <w:bCs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 w:val="0"/>
                <w:bCs/>
                <w:sz w:val="24"/>
              </w:rPr>
            </w:pPr>
            <w:r>
              <w:rPr>
                <w:rFonts w:hAnsi="黑体" w:eastAsia="黑体"/>
                <w:b w:val="0"/>
                <w:bCs/>
                <w:sz w:val="24"/>
              </w:rPr>
              <w:t>作品名称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 w:val="0"/>
                <w:bCs/>
                <w:sz w:val="24"/>
              </w:rPr>
            </w:pPr>
            <w:r>
              <w:rPr>
                <w:rFonts w:hAnsi="黑体" w:eastAsia="黑体"/>
                <w:b w:val="0"/>
                <w:bCs/>
                <w:sz w:val="24"/>
              </w:rPr>
              <w:t>艺术形式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 w:val="0"/>
                <w:bCs/>
                <w:sz w:val="24"/>
              </w:rPr>
            </w:pPr>
            <w:r>
              <w:rPr>
                <w:rFonts w:hAnsi="黑体" w:eastAsia="黑体"/>
                <w:b w:val="0"/>
                <w:bCs/>
                <w:sz w:val="24"/>
              </w:rPr>
              <w:t>题材内容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 w:val="0"/>
                <w:bCs/>
                <w:sz w:val="24"/>
              </w:rPr>
            </w:pPr>
            <w:r>
              <w:rPr>
                <w:rFonts w:hAnsi="黑体" w:eastAsia="黑体"/>
                <w:b w:val="0"/>
                <w:bCs/>
                <w:sz w:val="24"/>
              </w:rPr>
              <w:t>演出时长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 w:val="0"/>
                <w:bCs/>
                <w:sz w:val="24"/>
              </w:rPr>
            </w:pPr>
            <w:r>
              <w:rPr>
                <w:rFonts w:hAnsi="黑体" w:eastAsia="黑体"/>
                <w:b w:val="0"/>
                <w:bCs/>
                <w:sz w:val="24"/>
              </w:rPr>
              <w:t>演员人数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 w:val="0"/>
                <w:bCs/>
                <w:sz w:val="24"/>
              </w:rPr>
            </w:pPr>
            <w:r>
              <w:rPr>
                <w:rFonts w:hAnsi="黑体" w:eastAsia="黑体"/>
                <w:b w:val="0"/>
                <w:bCs/>
                <w:sz w:val="24"/>
              </w:rPr>
              <w:t>演出单位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 w:val="0"/>
                <w:bCs/>
                <w:sz w:val="24"/>
              </w:rPr>
            </w:pPr>
            <w:r>
              <w:rPr>
                <w:rFonts w:hAnsi="黑体" w:eastAsia="黑体"/>
                <w:b w:val="0"/>
                <w:bCs/>
                <w:sz w:val="24"/>
              </w:rPr>
              <w:t>联系人及联系方式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 w:val="0"/>
                <w:bCs/>
                <w:sz w:val="24"/>
              </w:rPr>
            </w:pPr>
            <w:r>
              <w:rPr>
                <w:rFonts w:hAnsi="黑体" w:eastAsia="黑体"/>
                <w:b w:val="0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b w:val="0"/>
                <w:bCs/>
              </w:rPr>
            </w:pPr>
          </w:p>
        </w:tc>
      </w:tr>
    </w:tbl>
    <w:p>
      <w:pPr>
        <w:shd w:val="solid" w:color="FFFFFF" w:fill="auto"/>
        <w:autoSpaceDN w:val="0"/>
        <w:spacing w:line="600" w:lineRule="exact"/>
        <w:rPr>
          <w:rFonts w:hint="eastAsia" w:ascii="仿宋_GB2312" w:eastAsia="仿宋_GB2312"/>
          <w:b w:val="0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b w:val="0"/>
          <w:bCs/>
          <w:sz w:val="28"/>
          <w:szCs w:val="28"/>
          <w:shd w:val="clear" w:color="auto" w:fill="FFFFFF"/>
        </w:rPr>
        <w:t>说明：</w:t>
      </w:r>
      <w:r>
        <w:rPr>
          <w:rFonts w:hint="eastAsia" w:ascii="仿宋_GB2312" w:eastAsia="仿宋_GB2312"/>
          <w:b w:val="0"/>
          <w:bCs/>
          <w:sz w:val="28"/>
          <w:szCs w:val="28"/>
          <w:shd w:val="clear" w:color="auto" w:fill="FFFFFF"/>
        </w:rPr>
        <w:t>1.</w:t>
      </w:r>
      <w:r>
        <w:rPr>
          <w:rFonts w:hint="eastAsia" w:ascii="仿宋_GB2312" w:hAnsi="仿宋" w:eastAsia="仿宋_GB2312"/>
          <w:b w:val="0"/>
          <w:bCs/>
          <w:sz w:val="28"/>
          <w:szCs w:val="28"/>
          <w:shd w:val="clear" w:color="auto" w:fill="FFFFFF"/>
        </w:rPr>
        <w:t>申报单位是指各市（州），省直文艺院团，部队文工团，有关院校。</w:t>
      </w:r>
    </w:p>
    <w:p>
      <w:pPr>
        <w:shd w:val="solid" w:color="FFFFFF" w:fill="auto"/>
        <w:autoSpaceDN w:val="0"/>
        <w:spacing w:line="600" w:lineRule="exact"/>
        <w:rPr>
          <w:rFonts w:hint="eastAsia" w:ascii="仿宋_GB2312" w:eastAsia="仿宋_GB2312"/>
          <w:b w:val="0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b w:val="0"/>
          <w:bCs/>
          <w:sz w:val="28"/>
          <w:szCs w:val="28"/>
          <w:shd w:val="clear" w:color="auto" w:fill="FFFFFF"/>
        </w:rPr>
        <w:t>　　</w:t>
      </w:r>
      <w:r>
        <w:rPr>
          <w:rFonts w:hint="eastAsia" w:ascii="仿宋_GB2312" w:eastAsia="仿宋_GB2312"/>
          <w:b w:val="0"/>
          <w:bCs/>
          <w:sz w:val="28"/>
          <w:szCs w:val="28"/>
          <w:shd w:val="clear" w:color="auto" w:fill="FFFFFF"/>
        </w:rPr>
        <w:t xml:space="preserve">  2.</w:t>
      </w:r>
      <w:r>
        <w:rPr>
          <w:rFonts w:hint="eastAsia" w:ascii="仿宋_GB2312" w:hAnsi="仿宋" w:eastAsia="仿宋_GB2312"/>
          <w:b w:val="0"/>
          <w:bCs/>
          <w:sz w:val="28"/>
          <w:szCs w:val="28"/>
          <w:shd w:val="clear" w:color="auto" w:fill="FFFFFF"/>
        </w:rPr>
        <w:t>序号为申报作品的排序号，供评审组评审时参考。</w:t>
      </w:r>
    </w:p>
    <w:p>
      <w:r>
        <w:rPr>
          <w:rFonts w:hint="eastAsia" w:ascii="仿宋_GB2312" w:hAnsi="仿宋" w:eastAsia="仿宋_GB2312"/>
          <w:b w:val="0"/>
          <w:bCs/>
          <w:sz w:val="28"/>
          <w:szCs w:val="28"/>
          <w:shd w:val="clear" w:color="auto" w:fill="FFFFFF"/>
        </w:rPr>
        <w:t>　　</w:t>
      </w:r>
      <w:r>
        <w:rPr>
          <w:rFonts w:hint="eastAsia" w:ascii="仿宋_GB2312" w:eastAsia="仿宋_GB2312"/>
          <w:b w:val="0"/>
          <w:bCs/>
          <w:sz w:val="28"/>
          <w:szCs w:val="28"/>
          <w:shd w:val="clear" w:color="auto" w:fill="FFFFFF"/>
        </w:rPr>
        <w:t xml:space="preserve">  3.</w:t>
      </w:r>
      <w:r>
        <w:rPr>
          <w:rFonts w:hint="eastAsia" w:ascii="仿宋_GB2312" w:hAnsi="仿宋" w:eastAsia="仿宋_GB2312"/>
          <w:b w:val="0"/>
          <w:bCs/>
          <w:sz w:val="28"/>
          <w:szCs w:val="28"/>
          <w:shd w:val="clear" w:color="auto" w:fill="FFFFFF"/>
        </w:rPr>
        <w:t>艺术形式是指话剧（方言）小品、戏曲小戏、小歌剧、小音乐剧、独幕剧等。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9217B"/>
    <w:rsid w:val="188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2021-03-09T07:16:00Z</dcterms:created>
  <dc:creator>NTKO</dc:creator>
  <cp:lastModifiedBy>NTKO</cp:lastModifiedBy>
  <dcterms:modified xsi:type="dcterms:W3CDTF">2021-03-09T07:16:35Z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