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leftChars="0" w:firstLine="0" w:firstLineChars="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一</w:t>
      </w:r>
    </w:p>
    <w:p>
      <w:pPr>
        <w:pStyle w:val="2"/>
        <w:spacing w:line="600" w:lineRule="exact"/>
        <w:rPr>
          <w:rFonts w:hint="default" w:ascii="Times New Roman" w:hAnsi="Times New Roman" w:eastAsia="方正仿宋_GBK" w:cs="Times New Roman"/>
          <w:sz w:val="32"/>
          <w:szCs w:val="32"/>
        </w:rPr>
      </w:pPr>
    </w:p>
    <w:p>
      <w:pPr>
        <w:spacing w:line="60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黑体" w:cs="Times New Roman"/>
          <w:sz w:val="44"/>
          <w:szCs w:val="44"/>
          <w:lang w:eastAsia="zh-CN"/>
        </w:rPr>
        <w:t>成都崇州市</w:t>
      </w:r>
      <w:r>
        <w:rPr>
          <w:rFonts w:hint="default" w:ascii="Times New Roman" w:hAnsi="Times New Roman" w:eastAsia="黑体" w:cs="Times New Roman"/>
          <w:sz w:val="44"/>
          <w:szCs w:val="44"/>
        </w:rPr>
        <w:t>竹艺村景区创建</w:t>
      </w:r>
      <w:r>
        <w:rPr>
          <w:rFonts w:hint="default" w:ascii="Times New Roman" w:hAnsi="Times New Roman" w:eastAsia="黑体" w:cs="Times New Roman"/>
          <w:sz w:val="44"/>
          <w:szCs w:val="44"/>
          <w:lang w:eastAsia="zh-CN"/>
        </w:rPr>
        <w:t>基本情况</w:t>
      </w:r>
    </w:p>
    <w:p>
      <w:pPr>
        <w:pStyle w:val="2"/>
        <w:spacing w:line="600" w:lineRule="exact"/>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9"/>
        <w:rPr>
          <w:rFonts w:hint="default" w:ascii="Times New Roman" w:hAnsi="Times New Roman" w:eastAsia="黑体" w:cs="Times New Roman"/>
          <w:bCs/>
          <w:color w:val="000000"/>
          <w:kern w:val="2"/>
          <w:sz w:val="32"/>
          <w:szCs w:val="32"/>
          <w:lang w:val="zh-TW" w:eastAsia="zh-TW" w:bidi="ar-SA"/>
        </w:rPr>
      </w:pPr>
      <w:r>
        <w:rPr>
          <w:rFonts w:hint="default" w:ascii="Times New Roman" w:hAnsi="Times New Roman" w:eastAsia="黑体" w:cs="Times New Roman"/>
          <w:bCs/>
          <w:color w:val="000000"/>
          <w:kern w:val="2"/>
          <w:sz w:val="32"/>
          <w:szCs w:val="32"/>
          <w:lang w:val="en-US" w:eastAsia="zh-CN" w:bidi="ar-SA"/>
        </w:rPr>
        <w:t>一、景区基本情况</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outlineLvl w:val="9"/>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TW"/>
        </w:rPr>
        <w:t>竹艺村景区位于成都西部，</w:t>
      </w:r>
      <w:r>
        <w:rPr>
          <w:rFonts w:hint="default" w:ascii="Times New Roman" w:hAnsi="Times New Roman" w:eastAsia="仿宋_GB2312" w:cs="Times New Roman"/>
          <w:sz w:val="32"/>
          <w:szCs w:val="32"/>
          <w:lang w:val="zh-TW"/>
        </w:rPr>
        <w:t>在</w:t>
      </w:r>
      <w:r>
        <w:rPr>
          <w:rFonts w:hint="default" w:ascii="Times New Roman" w:hAnsi="Times New Roman" w:eastAsia="仿宋_GB2312" w:cs="Times New Roman"/>
          <w:sz w:val="32"/>
          <w:szCs w:val="32"/>
          <w:lang w:val="zh-TW" w:eastAsia="zh-TW"/>
        </w:rPr>
        <w:t>崇州市道明镇南部，面积1.67平方公里，距成都市</w:t>
      </w:r>
      <w:r>
        <w:rPr>
          <w:rFonts w:hint="default" w:ascii="Times New Roman" w:hAnsi="Times New Roman" w:eastAsia="仿宋_GB2312" w:cs="Times New Roman"/>
          <w:sz w:val="32"/>
          <w:szCs w:val="32"/>
          <w:lang w:val="zh-TW"/>
        </w:rPr>
        <w:t>区</w:t>
      </w:r>
      <w:r>
        <w:rPr>
          <w:rFonts w:hint="default" w:ascii="Times New Roman" w:hAnsi="Times New Roman" w:eastAsia="仿宋_GB2312" w:cs="Times New Roman"/>
          <w:sz w:val="32"/>
          <w:szCs w:val="32"/>
          <w:lang w:val="zh-TW" w:eastAsia="zh-TW"/>
        </w:rPr>
        <w:t>约50公里，距双流国际机场约55公里，距离成蒲快铁崇州站12公里，毗邻成名高速</w:t>
      </w:r>
      <w:r>
        <w:rPr>
          <w:rFonts w:hint="default" w:ascii="Times New Roman" w:hAnsi="Times New Roman" w:eastAsia="仿宋_GB2312" w:cs="Times New Roman"/>
          <w:sz w:val="32"/>
          <w:szCs w:val="32"/>
        </w:rPr>
        <w:t>白头</w:t>
      </w:r>
      <w:r>
        <w:rPr>
          <w:rFonts w:hint="default" w:ascii="Times New Roman" w:hAnsi="Times New Roman" w:eastAsia="仿宋_GB2312" w:cs="Times New Roman"/>
          <w:sz w:val="32"/>
          <w:szCs w:val="32"/>
          <w:lang w:val="zh-TW" w:eastAsia="zh-TW"/>
        </w:rPr>
        <w:t>出入口，交通便利，</w:t>
      </w:r>
      <w:r>
        <w:rPr>
          <w:rFonts w:hint="default" w:ascii="Times New Roman" w:hAnsi="Times New Roman" w:eastAsia="仿宋_GB2312" w:cs="Times New Roman"/>
          <w:sz w:val="32"/>
          <w:szCs w:val="32"/>
          <w:lang w:val="zh-TW"/>
        </w:rPr>
        <w:t>利于</w:t>
      </w:r>
      <w:r>
        <w:rPr>
          <w:rFonts w:hint="default" w:ascii="Times New Roman" w:hAnsi="Times New Roman" w:eastAsia="仿宋_GB2312" w:cs="Times New Roman"/>
          <w:sz w:val="32"/>
          <w:szCs w:val="32"/>
          <w:lang w:val="zh-TW" w:eastAsia="zh-TW"/>
        </w:rPr>
        <w:t>游客</w:t>
      </w:r>
      <w:r>
        <w:rPr>
          <w:rFonts w:hint="default" w:ascii="Times New Roman" w:hAnsi="Times New Roman" w:eastAsia="仿宋_GB2312" w:cs="Times New Roman"/>
          <w:sz w:val="32"/>
          <w:szCs w:val="32"/>
          <w:lang w:val="zh-TW"/>
        </w:rPr>
        <w:t>出行</w:t>
      </w:r>
      <w:r>
        <w:rPr>
          <w:rFonts w:hint="default" w:ascii="Times New Roman" w:hAnsi="Times New Roman" w:eastAsia="仿宋_GB2312" w:cs="Times New Roman"/>
          <w:sz w:val="32"/>
          <w:szCs w:val="32"/>
          <w:lang w:val="zh-TW"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outlineLvl w:val="9"/>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eastAsia="zh-TW"/>
        </w:rPr>
        <w:t>景区旅游资源丰富，生态环境</w:t>
      </w:r>
      <w:r>
        <w:rPr>
          <w:rFonts w:hint="default" w:ascii="Times New Roman" w:hAnsi="Times New Roman" w:eastAsia="仿宋_GB2312" w:cs="Times New Roman"/>
          <w:sz w:val="32"/>
          <w:szCs w:val="32"/>
          <w:lang w:val="zh-TW"/>
        </w:rPr>
        <w:t>较好，</w:t>
      </w:r>
      <w:r>
        <w:rPr>
          <w:rFonts w:hint="default" w:ascii="Times New Roman" w:hAnsi="Times New Roman" w:eastAsia="仿宋_GB2312" w:cs="Times New Roman"/>
          <w:sz w:val="32"/>
          <w:szCs w:val="32"/>
          <w:lang w:val="zh-TW" w:eastAsia="zh-TW"/>
        </w:rPr>
        <w:t>依托竹艺村人文村落、无根山自然环境、白塔湖生态风光、白塔寺深厚文化等优质资源基底，融合本地特色农业、竹编产业、休闲体验、文化创意及美丽新村建设，完</w:t>
      </w:r>
      <w:r>
        <w:rPr>
          <w:rFonts w:hint="default" w:ascii="Times New Roman" w:hAnsi="Times New Roman" w:eastAsia="仿宋_GB2312" w:cs="Times New Roman"/>
          <w:sz w:val="32"/>
          <w:szCs w:val="32"/>
          <w:lang w:val="zh-TW"/>
        </w:rPr>
        <w:t>美</w:t>
      </w:r>
      <w:r>
        <w:rPr>
          <w:rFonts w:hint="default" w:ascii="Times New Roman" w:hAnsi="Times New Roman" w:eastAsia="仿宋_GB2312" w:cs="Times New Roman"/>
          <w:sz w:val="32"/>
          <w:szCs w:val="32"/>
          <w:lang w:val="zh-TW" w:eastAsia="zh-TW"/>
        </w:rPr>
        <w:t>诠释了乡村振兴战略中对乡村、自然生态，以及</w:t>
      </w:r>
      <w:r>
        <w:rPr>
          <w:rFonts w:hint="default" w:ascii="Times New Roman" w:hAnsi="Times New Roman" w:eastAsia="仿宋_GB2312" w:cs="Times New Roman"/>
          <w:sz w:val="32"/>
          <w:szCs w:val="32"/>
          <w:lang w:val="zh-TW"/>
        </w:rPr>
        <w:t>非物质</w:t>
      </w:r>
      <w:r>
        <w:rPr>
          <w:rFonts w:hint="default" w:ascii="Times New Roman" w:hAnsi="Times New Roman" w:eastAsia="仿宋_GB2312" w:cs="Times New Roman"/>
          <w:sz w:val="32"/>
          <w:szCs w:val="32"/>
          <w:lang w:val="zh-TW" w:eastAsia="zh-TW"/>
        </w:rPr>
        <w:t>文化遗产的保护与开发，</w:t>
      </w:r>
      <w:r>
        <w:rPr>
          <w:rFonts w:hint="default" w:ascii="Times New Roman" w:hAnsi="Times New Roman" w:eastAsia="仿宋_GB2312" w:cs="Times New Roman"/>
          <w:sz w:val="32"/>
          <w:szCs w:val="32"/>
          <w:lang w:val="zh-TW"/>
        </w:rPr>
        <w:t>构筑了</w:t>
      </w:r>
      <w:r>
        <w:rPr>
          <w:rFonts w:hint="default" w:ascii="Times New Roman" w:hAnsi="Times New Roman" w:eastAsia="仿宋_GB2312" w:cs="Times New Roman"/>
          <w:sz w:val="32"/>
          <w:szCs w:val="32"/>
          <w:lang w:val="zh-TW" w:eastAsia="zh-TW"/>
        </w:rPr>
        <w:t>集竹文创体验、文化休闲、徒步运动、田园观光、滨湖度假五大功能，</w:t>
      </w:r>
      <w:r>
        <w:rPr>
          <w:rFonts w:hint="default" w:ascii="Times New Roman" w:hAnsi="Times New Roman" w:eastAsia="仿宋_GB2312" w:cs="Times New Roman"/>
          <w:sz w:val="32"/>
          <w:szCs w:val="32"/>
          <w:lang w:val="zh-TW"/>
        </w:rPr>
        <w:t>成为</w:t>
      </w:r>
      <w:r>
        <w:rPr>
          <w:rFonts w:hint="default" w:ascii="Times New Roman" w:hAnsi="Times New Roman" w:eastAsia="仿宋_GB2312" w:cs="Times New Roman"/>
          <w:sz w:val="32"/>
          <w:szCs w:val="32"/>
          <w:lang w:val="zh-TW" w:eastAsia="zh-TW"/>
        </w:rPr>
        <w:t>农商文旅体融合发展旅游目的地</w:t>
      </w:r>
      <w:r>
        <w:rPr>
          <w:rFonts w:hint="default" w:ascii="Times New Roman" w:hAnsi="Times New Roman" w:eastAsia="仿宋_GB2312" w:cs="Times New Roman"/>
          <w:sz w:val="32"/>
          <w:szCs w:val="32"/>
          <w:lang w:val="zh-TW"/>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9"/>
        <w:rPr>
          <w:rFonts w:hint="default" w:ascii="Times New Roman" w:hAnsi="Times New Roman" w:eastAsia="黑体" w:cs="Times New Roman"/>
          <w:bCs/>
          <w:color w:val="000000"/>
          <w:kern w:val="2"/>
          <w:sz w:val="32"/>
          <w:szCs w:val="32"/>
          <w:lang w:val="en-US" w:eastAsia="zh-CN" w:bidi="ar-SA"/>
        </w:rPr>
      </w:pPr>
      <w:r>
        <w:rPr>
          <w:rFonts w:hint="default" w:ascii="Times New Roman" w:hAnsi="Times New Roman" w:eastAsia="黑体" w:cs="Times New Roman"/>
          <w:bCs/>
          <w:color w:val="000000"/>
          <w:kern w:val="2"/>
          <w:sz w:val="32"/>
          <w:szCs w:val="32"/>
          <w:lang w:val="en-US" w:eastAsia="zh-CN" w:bidi="ar-SA"/>
        </w:rPr>
        <w:t>二、创建情况</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outlineLvl w:val="9"/>
        <w:rPr>
          <w:rFonts w:hint="default" w:ascii="Times New Roman" w:hAnsi="Times New Roman" w:eastAsia="仿宋_GB2312" w:cs="Times New Roman"/>
          <w:color w:val="000000"/>
          <w:sz w:val="32"/>
          <w:szCs w:val="32"/>
          <w:lang w:val="zh-TW" w:eastAsia="zh-TW"/>
        </w:rPr>
      </w:pPr>
      <w:r>
        <w:rPr>
          <w:rFonts w:hint="default" w:ascii="Times New Roman" w:hAnsi="Times New Roman" w:eastAsia="仿宋_GB2312" w:cs="Times New Roman"/>
          <w:bCs/>
          <w:color w:val="000000"/>
          <w:sz w:val="32"/>
          <w:szCs w:val="32"/>
        </w:rPr>
        <w:t>构建高效的创建工作格局</w:t>
      </w:r>
      <w:r>
        <w:rPr>
          <w:rFonts w:hint="default" w:ascii="Times New Roman" w:hAnsi="Times New Roman" w:cs="Times New Roman"/>
          <w:bCs/>
          <w:color w:val="000000"/>
          <w:sz w:val="32"/>
          <w:szCs w:val="32"/>
          <w:lang w:eastAsia="zh-CN"/>
        </w:rPr>
        <w:t>。</w:t>
      </w:r>
      <w:r>
        <w:rPr>
          <w:rFonts w:hint="default" w:ascii="Times New Roman" w:hAnsi="Times New Roman" w:eastAsia="仿宋_GB2312" w:cs="Times New Roman"/>
          <w:color w:val="000000"/>
          <w:sz w:val="32"/>
          <w:szCs w:val="32"/>
          <w:lang w:val="zh-TW" w:eastAsia="zh-TW"/>
        </w:rPr>
        <w:t>成立了以市委</w:t>
      </w:r>
      <w:r>
        <w:rPr>
          <w:rFonts w:hint="default" w:ascii="Times New Roman" w:hAnsi="Times New Roman" w:eastAsia="仿宋_GB2312" w:cs="Times New Roman"/>
          <w:color w:val="000000"/>
          <w:sz w:val="32"/>
          <w:szCs w:val="32"/>
          <w:lang w:val="zh-TW"/>
        </w:rPr>
        <w:t>分管领导</w:t>
      </w:r>
      <w:r>
        <w:rPr>
          <w:rFonts w:hint="default" w:ascii="Times New Roman" w:hAnsi="Times New Roman" w:eastAsia="仿宋_GB2312" w:cs="Times New Roman"/>
          <w:color w:val="000000"/>
          <w:sz w:val="32"/>
          <w:szCs w:val="32"/>
          <w:lang w:val="zh-TW" w:eastAsia="zh-TW"/>
        </w:rPr>
        <w:t>为组长，市政府分管副市长为副组长，市级相关部门负责人为成员的</w:t>
      </w:r>
      <w:r>
        <w:rPr>
          <w:rFonts w:hint="default" w:ascii="Times New Roman" w:hAnsi="Times New Roman" w:eastAsia="仿宋_GB2312" w:cs="Times New Roman"/>
          <w:color w:val="000000"/>
          <w:sz w:val="32"/>
          <w:szCs w:val="32"/>
          <w:lang w:val="zh-TW"/>
        </w:rPr>
        <w:t>竹艺村</w:t>
      </w:r>
      <w:r>
        <w:rPr>
          <w:rFonts w:hint="default" w:ascii="Times New Roman" w:hAnsi="Times New Roman" w:eastAsia="仿宋_GB2312" w:cs="Times New Roman"/>
          <w:color w:val="000000"/>
          <w:sz w:val="32"/>
          <w:szCs w:val="32"/>
          <w:lang w:val="zh-TW" w:eastAsia="zh-TW"/>
        </w:rPr>
        <w:t>景区创建国家</w:t>
      </w:r>
      <w:r>
        <w:rPr>
          <w:rFonts w:hint="default" w:ascii="Times New Roman" w:hAnsi="Times New Roman" w:eastAsia="仿宋_GB2312" w:cs="Times New Roman"/>
          <w:color w:val="000000"/>
          <w:sz w:val="32"/>
          <w:szCs w:val="32"/>
          <w:lang w:val="zh-TW"/>
        </w:rPr>
        <w:t>4</w:t>
      </w:r>
      <w:r>
        <w:rPr>
          <w:rFonts w:hint="default" w:ascii="Times New Roman" w:hAnsi="Times New Roman" w:eastAsia="仿宋_GB2312" w:cs="Times New Roman"/>
          <w:color w:val="000000"/>
          <w:sz w:val="32"/>
          <w:szCs w:val="32"/>
          <w:lang w:val="zh-TW" w:eastAsia="zh-TW"/>
        </w:rPr>
        <w:t>A级景区工作领导小组。领导小组下设办公室，办公室设综合协调组、专家指导组、软件资料组、项目建设组、目标督查组，</w:t>
      </w:r>
      <w:r>
        <w:rPr>
          <w:rFonts w:hint="default" w:ascii="Times New Roman" w:hAnsi="Times New Roman" w:eastAsia="仿宋_GB2312" w:cs="Times New Roman"/>
          <w:color w:val="000000"/>
          <w:sz w:val="32"/>
          <w:szCs w:val="32"/>
          <w:lang w:val="zh-TW"/>
        </w:rPr>
        <w:t>负责</w:t>
      </w:r>
      <w:r>
        <w:rPr>
          <w:rFonts w:hint="default" w:ascii="Times New Roman" w:hAnsi="Times New Roman" w:eastAsia="仿宋_GB2312" w:cs="Times New Roman"/>
          <w:color w:val="000000"/>
          <w:sz w:val="32"/>
          <w:szCs w:val="32"/>
          <w:lang w:val="zh-TW" w:eastAsia="zh-TW"/>
        </w:rPr>
        <w:t>统筹协调和组织推进景区创建各项工作</w:t>
      </w:r>
      <w:r>
        <w:rPr>
          <w:rFonts w:hint="default" w:ascii="Times New Roman" w:hAnsi="Times New Roman" w:eastAsia="仿宋_GB2312" w:cs="Times New Roman"/>
          <w:color w:val="000000"/>
          <w:sz w:val="32"/>
          <w:szCs w:val="32"/>
          <w:lang w:val="zh-TW"/>
        </w:rPr>
        <w:t>，并</w:t>
      </w:r>
      <w:r>
        <w:rPr>
          <w:rFonts w:hint="default" w:ascii="Times New Roman" w:hAnsi="Times New Roman" w:eastAsia="仿宋_GB2312" w:cs="Times New Roman"/>
          <w:color w:val="000000"/>
          <w:sz w:val="32"/>
          <w:szCs w:val="32"/>
          <w:lang w:val="zh-TW" w:eastAsia="zh-TW"/>
        </w:rPr>
        <w:t>确定</w:t>
      </w:r>
      <w:r>
        <w:rPr>
          <w:rFonts w:hint="default" w:ascii="Times New Roman" w:hAnsi="Times New Roman" w:eastAsia="仿宋_GB2312" w:cs="Times New Roman"/>
          <w:color w:val="000000"/>
          <w:sz w:val="32"/>
          <w:szCs w:val="32"/>
        </w:rPr>
        <w:t>崇州文旅集团</w:t>
      </w:r>
      <w:r>
        <w:rPr>
          <w:rFonts w:hint="default" w:ascii="Times New Roman" w:hAnsi="Times New Roman" w:eastAsia="仿宋_GB2312" w:cs="Times New Roman"/>
          <w:color w:val="000000"/>
          <w:sz w:val="32"/>
          <w:szCs w:val="32"/>
          <w:lang w:val="zh-TW" w:eastAsia="zh-TW"/>
        </w:rPr>
        <w:t>为景区创建主体和管理机构。</w:t>
      </w:r>
      <w:r>
        <w:rPr>
          <w:rFonts w:hint="default" w:ascii="Times New Roman" w:hAnsi="Times New Roman" w:eastAsia="仿宋_GB2312" w:cs="Times New Roman"/>
          <w:bCs/>
          <w:color w:val="000000"/>
          <w:sz w:val="32"/>
          <w:szCs w:val="32"/>
        </w:rPr>
        <w:t>建立科学的创建责任体系</w:t>
      </w:r>
      <w:r>
        <w:rPr>
          <w:rFonts w:hint="default" w:ascii="Times New Roman" w:hAnsi="Times New Roman" w:cs="Times New Roman"/>
          <w:bCs/>
          <w:color w:val="000000"/>
          <w:sz w:val="32"/>
          <w:szCs w:val="32"/>
          <w:lang w:eastAsia="zh-CN"/>
        </w:rPr>
        <w:t>。</w:t>
      </w:r>
      <w:r>
        <w:rPr>
          <w:rFonts w:hint="default" w:ascii="Times New Roman" w:hAnsi="Times New Roman" w:eastAsia="仿宋_GB2312" w:cs="Times New Roman"/>
          <w:color w:val="000000"/>
          <w:sz w:val="32"/>
          <w:szCs w:val="32"/>
          <w:lang w:val="zh-TW" w:eastAsia="zh-TW"/>
        </w:rPr>
        <w:t>市委市政府</w:t>
      </w:r>
      <w:r>
        <w:rPr>
          <w:rFonts w:hint="default" w:ascii="Times New Roman" w:hAnsi="Times New Roman" w:eastAsia="仿宋_GB2312" w:cs="Times New Roman"/>
          <w:color w:val="000000"/>
          <w:sz w:val="32"/>
          <w:szCs w:val="32"/>
          <w:lang w:val="zh-TW"/>
        </w:rPr>
        <w:t>先后</w:t>
      </w:r>
      <w:r>
        <w:rPr>
          <w:rFonts w:hint="default" w:ascii="Times New Roman" w:hAnsi="Times New Roman" w:eastAsia="仿宋_GB2312" w:cs="Times New Roman"/>
          <w:color w:val="000000"/>
          <w:sz w:val="32"/>
          <w:szCs w:val="32"/>
          <w:lang w:val="zh-TW" w:eastAsia="zh-TW"/>
        </w:rPr>
        <w:t>召开领导小组会议</w:t>
      </w:r>
      <w:r>
        <w:rPr>
          <w:rFonts w:hint="default" w:ascii="Times New Roman" w:hAnsi="Times New Roman" w:eastAsia="仿宋_GB2312" w:cs="Times New Roman"/>
          <w:color w:val="000000"/>
          <w:sz w:val="32"/>
          <w:szCs w:val="32"/>
          <w:lang w:val="zh-TW"/>
        </w:rPr>
        <w:t>24</w:t>
      </w:r>
      <w:r>
        <w:rPr>
          <w:rFonts w:hint="default" w:ascii="Times New Roman" w:hAnsi="Times New Roman" w:eastAsia="仿宋_GB2312" w:cs="Times New Roman"/>
          <w:color w:val="000000"/>
          <w:sz w:val="32"/>
          <w:szCs w:val="32"/>
          <w:lang w:val="zh-TW" w:eastAsia="zh-TW"/>
        </w:rPr>
        <w:t>次，专题研究会议</w:t>
      </w:r>
      <w:r>
        <w:rPr>
          <w:rFonts w:hint="default" w:ascii="Times New Roman" w:hAnsi="Times New Roman" w:eastAsia="仿宋_GB2312" w:cs="Times New Roman"/>
          <w:color w:val="000000"/>
          <w:sz w:val="32"/>
          <w:szCs w:val="32"/>
          <w:lang w:val="zh-TW"/>
        </w:rPr>
        <w:t>7</w:t>
      </w:r>
      <w:r>
        <w:rPr>
          <w:rFonts w:hint="default" w:ascii="Times New Roman" w:hAnsi="Times New Roman" w:eastAsia="仿宋_GB2312" w:cs="Times New Roman"/>
          <w:color w:val="000000"/>
          <w:sz w:val="32"/>
          <w:szCs w:val="32"/>
          <w:lang w:val="zh-TW" w:eastAsia="zh-TW"/>
        </w:rPr>
        <w:t>5次，统筹协调景区创建重大工作。</w:t>
      </w:r>
      <w:r>
        <w:rPr>
          <w:rFonts w:hint="default" w:ascii="Times New Roman" w:hAnsi="Times New Roman" w:eastAsia="仿宋_GB2312" w:cs="Times New Roman"/>
          <w:color w:val="000000"/>
          <w:sz w:val="32"/>
          <w:szCs w:val="32"/>
          <w:lang w:val="zh-TW"/>
        </w:rPr>
        <w:t>组织</w:t>
      </w:r>
      <w:r>
        <w:rPr>
          <w:rFonts w:hint="default" w:ascii="Times New Roman" w:hAnsi="Times New Roman" w:eastAsia="仿宋_GB2312" w:cs="Times New Roman"/>
          <w:color w:val="000000"/>
          <w:sz w:val="32"/>
          <w:szCs w:val="32"/>
          <w:lang w:val="zh-TW" w:eastAsia="zh-TW"/>
        </w:rPr>
        <w:t>编制《</w:t>
      </w:r>
      <w:r>
        <w:rPr>
          <w:rFonts w:hint="default" w:ascii="Times New Roman" w:hAnsi="Times New Roman" w:eastAsia="仿宋_GB2312" w:cs="Times New Roman"/>
          <w:color w:val="000000"/>
          <w:sz w:val="32"/>
          <w:szCs w:val="32"/>
          <w:lang w:val="zh-TW"/>
        </w:rPr>
        <w:t>竹艺村景区</w:t>
      </w:r>
      <w:r>
        <w:rPr>
          <w:rFonts w:hint="default" w:ascii="Times New Roman" w:hAnsi="Times New Roman" w:eastAsia="仿宋_GB2312" w:cs="Times New Roman"/>
          <w:color w:val="000000"/>
          <w:sz w:val="32"/>
          <w:szCs w:val="32"/>
          <w:lang w:val="zh-TW" w:eastAsia="zh-TW"/>
        </w:rPr>
        <w:t>旅游景区总体规划》《</w:t>
      </w:r>
      <w:r>
        <w:rPr>
          <w:rFonts w:hint="default" w:ascii="Times New Roman" w:hAnsi="Times New Roman" w:eastAsia="仿宋_GB2312" w:cs="Times New Roman"/>
          <w:color w:val="000000"/>
          <w:sz w:val="32"/>
          <w:szCs w:val="32"/>
          <w:lang w:val="zh-TW"/>
        </w:rPr>
        <w:t>竹艺村</w:t>
      </w:r>
      <w:r>
        <w:rPr>
          <w:rFonts w:hint="default" w:ascii="Times New Roman" w:hAnsi="Times New Roman" w:eastAsia="仿宋_GB2312" w:cs="Times New Roman"/>
          <w:color w:val="000000"/>
          <w:sz w:val="32"/>
          <w:szCs w:val="32"/>
          <w:lang w:val="zh-TW" w:eastAsia="zh-TW"/>
        </w:rPr>
        <w:t>景区创建国家AAAA级旅游景区整改提升方案》，确定了8个大项、</w:t>
      </w:r>
      <w:r>
        <w:rPr>
          <w:rFonts w:hint="default" w:ascii="Times New Roman" w:hAnsi="Times New Roman" w:eastAsia="仿宋_GB2312" w:cs="Times New Roman"/>
          <w:color w:val="000000"/>
          <w:sz w:val="32"/>
          <w:szCs w:val="32"/>
          <w:lang w:val="zh-TW"/>
        </w:rPr>
        <w:t>68</w:t>
      </w:r>
      <w:r>
        <w:rPr>
          <w:rFonts w:hint="default" w:ascii="Times New Roman" w:hAnsi="Times New Roman" w:eastAsia="仿宋_GB2312" w:cs="Times New Roman"/>
          <w:color w:val="000000"/>
          <w:sz w:val="32"/>
          <w:szCs w:val="32"/>
          <w:lang w:val="zh-TW" w:eastAsia="zh-TW"/>
        </w:rPr>
        <w:t>个小项的硬件整改提升任务和2</w:t>
      </w:r>
      <w:r>
        <w:rPr>
          <w:rFonts w:hint="default" w:ascii="Times New Roman" w:hAnsi="Times New Roman" w:eastAsia="仿宋_GB2312" w:cs="Times New Roman"/>
          <w:color w:val="000000"/>
          <w:sz w:val="32"/>
          <w:szCs w:val="32"/>
          <w:lang w:val="zh-TW"/>
        </w:rPr>
        <w:t>96</w:t>
      </w:r>
      <w:r>
        <w:rPr>
          <w:rFonts w:hint="default" w:ascii="Times New Roman" w:hAnsi="Times New Roman" w:eastAsia="仿宋_GB2312" w:cs="Times New Roman"/>
          <w:color w:val="000000"/>
          <w:sz w:val="32"/>
          <w:szCs w:val="32"/>
          <w:lang w:val="zh-TW" w:eastAsia="zh-TW"/>
        </w:rPr>
        <w:t>项软件提升任务，</w:t>
      </w:r>
      <w:r>
        <w:rPr>
          <w:rFonts w:hint="default" w:ascii="Times New Roman" w:hAnsi="Times New Roman" w:eastAsia="仿宋_GB2312" w:cs="Times New Roman"/>
          <w:color w:val="000000"/>
          <w:sz w:val="32"/>
          <w:szCs w:val="32"/>
          <w:lang w:val="zh-TW"/>
        </w:rPr>
        <w:t>并</w:t>
      </w:r>
      <w:r>
        <w:rPr>
          <w:rFonts w:hint="default" w:ascii="Times New Roman" w:hAnsi="Times New Roman" w:eastAsia="仿宋_GB2312" w:cs="Times New Roman"/>
          <w:color w:val="000000"/>
          <w:sz w:val="32"/>
          <w:szCs w:val="32"/>
          <w:lang w:val="zh-TW" w:eastAsia="zh-TW"/>
        </w:rPr>
        <w:t>分解下达给相关责任单位，</w:t>
      </w:r>
      <w:r>
        <w:rPr>
          <w:rFonts w:hint="default" w:ascii="Times New Roman" w:hAnsi="Times New Roman" w:eastAsia="仿宋_GB2312" w:cs="Times New Roman"/>
          <w:color w:val="000000"/>
          <w:sz w:val="32"/>
          <w:szCs w:val="32"/>
          <w:lang w:val="zh-TW"/>
        </w:rPr>
        <w:t>切实</w:t>
      </w:r>
      <w:r>
        <w:rPr>
          <w:rFonts w:hint="default" w:ascii="Times New Roman" w:hAnsi="Times New Roman" w:eastAsia="仿宋_GB2312" w:cs="Times New Roman"/>
          <w:color w:val="000000"/>
          <w:sz w:val="32"/>
          <w:szCs w:val="32"/>
          <w:lang w:val="zh-TW" w:eastAsia="zh-TW"/>
        </w:rPr>
        <w:t>做到“目标任务、责任单位、时限要求”三明确，</w:t>
      </w:r>
      <w:r>
        <w:rPr>
          <w:rFonts w:hint="default" w:ascii="Times New Roman" w:hAnsi="Times New Roman" w:eastAsia="仿宋_GB2312" w:cs="Times New Roman"/>
          <w:color w:val="000000"/>
          <w:sz w:val="32"/>
          <w:szCs w:val="32"/>
          <w:lang w:val="zh-TW"/>
        </w:rPr>
        <w:t>并</w:t>
      </w:r>
      <w:r>
        <w:rPr>
          <w:rFonts w:hint="default" w:ascii="Times New Roman" w:hAnsi="Times New Roman" w:eastAsia="仿宋_GB2312" w:cs="Times New Roman"/>
          <w:color w:val="000000"/>
          <w:sz w:val="32"/>
          <w:szCs w:val="32"/>
          <w:lang w:val="zh-TW" w:eastAsia="zh-TW"/>
        </w:rPr>
        <w:t>建立周督查、月通报机制。通过跟踪督查、现场督办，</w:t>
      </w:r>
      <w:r>
        <w:rPr>
          <w:rFonts w:hint="default" w:ascii="Times New Roman" w:hAnsi="Times New Roman" w:eastAsia="仿宋_GB2312" w:cs="Times New Roman"/>
          <w:color w:val="000000"/>
          <w:sz w:val="32"/>
          <w:szCs w:val="32"/>
          <w:lang w:val="zh-TW"/>
        </w:rPr>
        <w:t>及时</w:t>
      </w:r>
      <w:r>
        <w:rPr>
          <w:rFonts w:hint="default" w:ascii="Times New Roman" w:hAnsi="Times New Roman" w:eastAsia="仿宋_GB2312" w:cs="Times New Roman"/>
          <w:color w:val="000000"/>
          <w:sz w:val="32"/>
          <w:szCs w:val="32"/>
          <w:lang w:val="zh-TW" w:eastAsia="zh-TW"/>
        </w:rPr>
        <w:t>掌握创建工作进度，及时协调处理</w:t>
      </w:r>
      <w:r>
        <w:rPr>
          <w:rFonts w:hint="default" w:ascii="Times New Roman" w:hAnsi="Times New Roman" w:eastAsia="仿宋_GB2312" w:cs="Times New Roman"/>
          <w:color w:val="000000"/>
          <w:sz w:val="32"/>
          <w:szCs w:val="32"/>
          <w:lang w:val="zh-TW"/>
        </w:rPr>
        <w:t>创建过程中的</w:t>
      </w:r>
      <w:r>
        <w:rPr>
          <w:rFonts w:hint="default" w:ascii="Times New Roman" w:hAnsi="Times New Roman" w:eastAsia="仿宋_GB2312" w:cs="Times New Roman"/>
          <w:color w:val="000000"/>
          <w:sz w:val="32"/>
          <w:szCs w:val="32"/>
          <w:lang w:val="zh-TW" w:eastAsia="zh-TW"/>
        </w:rPr>
        <w:t>相关问题</w:t>
      </w:r>
      <w:r>
        <w:rPr>
          <w:rFonts w:hint="default" w:ascii="Times New Roman" w:hAnsi="Times New Roman" w:eastAsia="仿宋_GB2312" w:cs="Times New Roman"/>
          <w:color w:val="000000"/>
          <w:sz w:val="32"/>
          <w:szCs w:val="32"/>
          <w:lang w:val="zh-TW"/>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9"/>
        <w:rPr>
          <w:rFonts w:hint="default" w:ascii="Times New Roman" w:hAnsi="Times New Roman" w:eastAsia="黑体" w:cs="Times New Roman"/>
          <w:bCs/>
          <w:color w:val="000000"/>
          <w:kern w:val="2"/>
          <w:sz w:val="32"/>
          <w:szCs w:val="32"/>
          <w:lang w:val="zh-TW" w:eastAsia="zh-TW" w:bidi="ar-SA"/>
        </w:rPr>
      </w:pPr>
      <w:r>
        <w:rPr>
          <w:rFonts w:hint="default" w:ascii="Times New Roman" w:hAnsi="Times New Roman" w:eastAsia="黑体" w:cs="Times New Roman"/>
          <w:bCs/>
          <w:color w:val="000000"/>
          <w:kern w:val="2"/>
          <w:sz w:val="32"/>
          <w:szCs w:val="32"/>
          <w:lang w:val="en-US" w:eastAsia="zh-CN" w:bidi="ar-SA"/>
        </w:rPr>
        <w:t>三、主要成效</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outlineLvl w:val="9"/>
        <w:rPr>
          <w:rFonts w:hint="default" w:ascii="Times New Roman" w:hAnsi="Times New Roman" w:eastAsia="仿宋_GB2312" w:cs="Times New Roman"/>
          <w:b/>
          <w:bCs w:val="0"/>
          <w:color w:val="000000"/>
          <w:sz w:val="32"/>
          <w:szCs w:val="32"/>
        </w:rPr>
      </w:pPr>
      <w:r>
        <w:rPr>
          <w:rFonts w:hint="default" w:ascii="Times New Roman" w:hAnsi="Times New Roman" w:eastAsia="仿宋_GB2312" w:cs="Times New Roman"/>
          <w:b/>
          <w:bCs w:val="0"/>
          <w:color w:val="000000"/>
          <w:sz w:val="32"/>
          <w:szCs w:val="32"/>
        </w:rPr>
        <w:t>（一）旅游服务设施及功能更加完善</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outlineLvl w:val="9"/>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一是新建800平方米游客中心，外型大气新颖，融入了景区的主题文化，且内部服务功能完善。二是在景区内部建设生态停车场4个，总面积11078平方米，大车、小车车位及无障碍车位共计310个。三是完善了内部游览线路，建设绿道8公里、步游道10公里。四是购置了观光电瓶车10辆、观光自行车30辆等特色交通工具，为游客提供个性化通行服务。</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outlineLvl w:val="9"/>
        <w:rPr>
          <w:rFonts w:hint="default" w:ascii="Times New Roman" w:hAnsi="Times New Roman" w:eastAsia="仿宋_GB2312" w:cs="Times New Roman"/>
          <w:b/>
          <w:bCs w:val="0"/>
          <w:color w:val="000000"/>
          <w:sz w:val="32"/>
          <w:szCs w:val="32"/>
        </w:rPr>
      </w:pPr>
      <w:r>
        <w:rPr>
          <w:rFonts w:hint="default" w:ascii="Times New Roman" w:hAnsi="Times New Roman" w:eastAsia="仿宋_GB2312" w:cs="Times New Roman"/>
          <w:b/>
          <w:bCs w:val="0"/>
          <w:color w:val="000000"/>
          <w:sz w:val="32"/>
          <w:szCs w:val="32"/>
        </w:rPr>
        <w:t>（二）智慧景区建设超前谋划</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outlineLvl w:val="9"/>
        <w:rPr>
          <w:rFonts w:hint="default"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lang w:val="zh-TW"/>
        </w:rPr>
        <w:t>安装监控探头115个，实现景区视频监控全覆盖，并提前接入了四川省文旅厅智慧旅游云平台、公安天网系统平台，有效提升了景区数字化、信息化服务水平。景区建有通讯基站，实现了景区游客集中场所无线WIFI全覆盖，保证了景区通信畅通，网络无盲区。</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outlineLvl w:val="9"/>
        <w:rPr>
          <w:rFonts w:hint="default" w:ascii="Times New Roman" w:hAnsi="Times New Roman" w:eastAsia="仿宋_GB2312" w:cs="Times New Roman"/>
          <w:b/>
          <w:bCs w:val="0"/>
          <w:color w:val="000000"/>
          <w:sz w:val="32"/>
          <w:szCs w:val="32"/>
        </w:rPr>
      </w:pPr>
      <w:r>
        <w:rPr>
          <w:rFonts w:hint="default" w:ascii="Times New Roman" w:hAnsi="Times New Roman" w:eastAsia="仿宋_GB2312" w:cs="Times New Roman"/>
          <w:b/>
          <w:bCs w:val="0"/>
          <w:color w:val="000000"/>
          <w:sz w:val="32"/>
          <w:szCs w:val="32"/>
        </w:rPr>
        <w:t>（三）文创产业发展迅速</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outlineLvl w:val="9"/>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景区本着“传承创新道明竹编、转型升级乡村产业”的愿景，以乡村振兴战略为指引，以设计为媒介，以文创为特色，积极探索“公园城市乡村表达”的创新实践</w:t>
      </w:r>
      <w:r>
        <w:rPr>
          <w:rFonts w:hint="default" w:ascii="Times New Roman" w:hAnsi="Times New Roman" w:cs="Times New Roman"/>
          <w:sz w:val="32"/>
          <w:szCs w:val="32"/>
          <w:lang w:val="zh-TW" w:eastAsia="zh-CN"/>
        </w:rPr>
        <w:t>。</w:t>
      </w:r>
      <w:r>
        <w:rPr>
          <w:rFonts w:hint="default" w:ascii="Times New Roman" w:hAnsi="Times New Roman" w:eastAsia="仿宋_GB2312" w:cs="Times New Roman"/>
          <w:sz w:val="32"/>
          <w:szCs w:val="32"/>
          <w:lang w:val="zh-TW"/>
        </w:rPr>
        <w:t>引入了中央美院、澳大利亚竹产业研究院、四川大学创意管理研究所等机构，建成了成都创意设计产业化实验区、中英创意设计实验室等休闲文创项目</w:t>
      </w:r>
      <w:r>
        <w:rPr>
          <w:rFonts w:hint="default" w:ascii="Times New Roman" w:hAnsi="Times New Roman" w:cs="Times New Roman"/>
          <w:sz w:val="32"/>
          <w:szCs w:val="32"/>
          <w:lang w:val="zh-TW" w:eastAsia="zh-CN"/>
        </w:rPr>
        <w:t>。</w:t>
      </w:r>
      <w:r>
        <w:rPr>
          <w:rFonts w:hint="default" w:ascii="Times New Roman" w:hAnsi="Times New Roman" w:eastAsia="仿宋_GB2312" w:cs="Times New Roman"/>
          <w:sz w:val="32"/>
          <w:szCs w:val="32"/>
          <w:lang w:val="zh-TW"/>
        </w:rPr>
        <w:t>以“造商”代替“招商”，以孵化式招商模式培育了竹编创客基地、竹艺工坊、非物质文化研习所等“原生态”项目，培养了一批以丁春梅等为代表的创客人才，实现了文创产业的繁荣发展。</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outlineLvl w:val="9"/>
        <w:rPr>
          <w:rFonts w:hint="default" w:ascii="Times New Roman" w:hAnsi="Times New Roman" w:eastAsia="仿宋_GB2312" w:cs="Times New Roman"/>
          <w:b/>
          <w:bCs w:val="0"/>
          <w:color w:val="000000"/>
          <w:sz w:val="32"/>
          <w:szCs w:val="32"/>
        </w:rPr>
      </w:pPr>
      <w:r>
        <w:rPr>
          <w:rFonts w:hint="default" w:ascii="Times New Roman" w:hAnsi="Times New Roman" w:eastAsia="仿宋_GB2312" w:cs="Times New Roman"/>
          <w:b/>
          <w:bCs w:val="0"/>
          <w:color w:val="000000"/>
          <w:sz w:val="32"/>
          <w:szCs w:val="32"/>
        </w:rPr>
        <w:t>（四）新业态新产品不断拓展</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outlineLvl w:val="9"/>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景区在现有百年老茶馆、来去酒馆、丁知竹、见外美术馆等业态基础上，又积极引入社会化资本或鼓励本村村民创业开发新的业态和旅游产品。目前已建成竹里、三径书院、幸福里、归野、遵生小院、历空山、竹海听涛等网红民宿、餐饮、休闲度假等业态60余家，提供就业岗位4000余个，年营业收入52000余万元，促进了景区旅游综合收入的提升和当地老百姓的致富增收。</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outlineLvl w:val="9"/>
        <w:rPr>
          <w:rFonts w:hint="default" w:ascii="Times New Roman" w:hAnsi="Times New Roman" w:eastAsia="仿宋_GB2312" w:cs="Times New Roman"/>
          <w:b/>
          <w:bCs w:val="0"/>
          <w:color w:val="000000"/>
          <w:sz w:val="32"/>
          <w:szCs w:val="32"/>
        </w:rPr>
      </w:pPr>
      <w:r>
        <w:rPr>
          <w:rFonts w:hint="default" w:ascii="Times New Roman" w:hAnsi="Times New Roman" w:eastAsia="仿宋_GB2312" w:cs="Times New Roman"/>
          <w:b/>
          <w:bCs w:val="0"/>
          <w:color w:val="000000"/>
          <w:sz w:val="32"/>
          <w:szCs w:val="32"/>
        </w:rPr>
        <w:t>（五）景区品牌营销卓有成效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outlineLvl w:val="9"/>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景区在发展经营过程中，不断整合各类宣传渠道，深入开展景区品牌宣传营销工作。竹艺村及竹里先后获得四川十大文旅产业地标、成都市乡村振兴十大案例、2018年金熊猫创意设计奖“金奖”、YOU成都“美学空间”奖等荣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B21B4"/>
    <w:rsid w:val="35FB21B4"/>
    <w:rsid w:val="74641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2020-11-03T09:20:00Z</dcterms:created>
  <dc:creator>Administrator</dc:creator>
  <cp:lastModifiedBy>Administrator</cp:lastModifiedBy>
  <dcterms:modified xsi:type="dcterms:W3CDTF">2020-11-03T09:21:36Z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