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left="0" w:leftChars="0" w:firstLine="0" w:firstLineChars="0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atLeast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亚拉神山旅游区创建基本情况</w:t>
      </w:r>
    </w:p>
    <w:p>
      <w:pPr>
        <w:pStyle w:val="2"/>
        <w:rPr>
          <w:rFonts w:hint="eastAsia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一、基本情况</w:t>
      </w:r>
    </w:p>
    <w:p>
      <w:pPr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亚拉神山旅游区位于甘孜州康定市雅拉乡与道孚县八美镇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旅游区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面积约200平方公里，最高点海拔5820米，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北侧为泰宁玉科省级自然保护区、南侧为贡嘎山国家风景名胜区二级保护区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，处于甘孜州环雪域贡嘎旅游圈重要节点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地处干尔隆巴河流域，系大雪山山脉的第二高峰，与蜀山之王贡嘎山遥遥相望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温带高原气候，气候变化较大，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昼夜温差高达15°C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旅游区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山体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岩层以花岗岩为主，加上长期冰蚀作用，狭窄的山脊犹如倾斜的刀刃，坡壁陡峭，岩石裸露，坡度多大于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茶马古道从中穿梭而过。</w:t>
      </w:r>
    </w:p>
    <w:p>
      <w:pPr>
        <w:spacing w:line="240" w:lineRule="auto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二、创建情况</w:t>
      </w:r>
    </w:p>
    <w:p>
      <w:pPr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亚拉神山旅游区自2019年启动创建国家4A级旅游景区工作以来，道孚县委、县政府成立了专项工作领导小组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印发了《道孚县亚拉神山旅游区创建国家4A级旅游景区工作实施方案》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定期调研景区进度，同时我公司成立了以总经理为组长的创建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小组，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编制了《亚拉神山旅游区整改提升方案》并严格按照提升方案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认真开展工作。在2019年成功创建了国家3A级旅游景区，在国家3A级旅游景区的基础上投入了专项资金大力改善景区道路、停车场、标识系统、旅游厕所等方面基础建设，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确保了创建工作顺利开展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numPr>
          <w:ilvl w:val="0"/>
          <w:numId w:val="0"/>
        </w:numPr>
        <w:spacing w:line="240" w:lineRule="auto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三、主要成效</w:t>
      </w:r>
    </w:p>
    <w:p>
      <w:pPr>
        <w:widowControl w:val="0"/>
        <w:numPr>
          <w:ilvl w:val="0"/>
          <w:numId w:val="0"/>
        </w:numPr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旅游区自2019年开始启动创建国家AAAA级旅游景区以来，经过一年多时间的提档升级，亚拉神山旅游区从硬件、软件的各个方面已经达到了国家AAAA级旅游景区的各项要求。</w:t>
      </w:r>
    </w:p>
    <w:p>
      <w:pPr>
        <w:widowControl w:val="0"/>
        <w:numPr>
          <w:ilvl w:val="0"/>
          <w:numId w:val="0"/>
        </w:numPr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改善交通条件。在景区内完善了两个大型生态停车场，使停车场面积达到了6000平米以上。规范了停车场标识、标线、门禁系统、管理人员、制度等。重新修建了旅游中心到旅游区内部观光车道，保障游客安全出行。完善了内部游览线路，增加了游览设施，为游客提供了良好的游览环境。</w:t>
      </w:r>
    </w:p>
    <w:p>
      <w:pPr>
        <w:widowControl w:val="0"/>
        <w:numPr>
          <w:ilvl w:val="0"/>
          <w:numId w:val="0"/>
        </w:numPr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强化旅游安全。景区专门设置了安保部门，建立健全了景区安全保卫制度，配备了专职、流动安保人员，建立了景区安全巡查记录制度。成立应急领导小组，负责景区游客高峰期和特殊情况的安全处置工作。</w:t>
      </w:r>
    </w:p>
    <w:p>
      <w:pPr>
        <w:widowControl w:val="0"/>
        <w:numPr>
          <w:ilvl w:val="0"/>
          <w:numId w:val="0"/>
        </w:numPr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优化卫生管理。建立健全了景区环卫体系，加强了景区环境卫生管理，实行垃圾分类和流动清扫，确保日产日清。建立健全了各项餐饮卫生管理制度，定期组织开展食品卫生专项检查，规范就餐、后厨服务管理，营造安全和谐的旅游环境。进行了厕所革命，按照标准提升了景区厕所，达到AAA级旅游厕所3座。</w:t>
      </w:r>
    </w:p>
    <w:p>
      <w:pPr>
        <w:widowControl w:val="0"/>
        <w:numPr>
          <w:ilvl w:val="0"/>
          <w:numId w:val="0"/>
        </w:numPr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规范旅游去综合管理。建立健全了旅游区质量、营销、安全、导游、卫生、环保、统计等各项规章制度，并认真贯彻执行，记录完整。</w:t>
      </w:r>
    </w:p>
    <w:p>
      <w:pPr>
        <w:widowControl w:val="0"/>
        <w:numPr>
          <w:ilvl w:val="0"/>
          <w:numId w:val="0"/>
        </w:numPr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完善旅游区信息化建设。我公司高度重视信息化建设，</w:t>
      </w:r>
      <w:r>
        <w:rPr>
          <w:rFonts w:ascii="仿宋" w:hAnsi="仿宋" w:eastAsia="仿宋"/>
          <w:sz w:val="32"/>
          <w:szCs w:val="32"/>
        </w:rPr>
        <w:t>聘请专业团队编制信息化设计方案，成立信息化工作小组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，旅游区具有独立的域名，</w:t>
      </w:r>
      <w:r>
        <w:rPr>
          <w:rFonts w:ascii="仿宋" w:hAnsi="仿宋" w:eastAsia="仿宋"/>
          <w:sz w:val="32"/>
          <w:szCs w:val="32"/>
        </w:rPr>
        <w:t>制作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了</w:t>
      </w:r>
      <w:r>
        <w:rPr>
          <w:rFonts w:ascii="仿宋" w:hAnsi="仿宋" w:eastAsia="仿宋"/>
          <w:sz w:val="32"/>
          <w:szCs w:val="32"/>
        </w:rPr>
        <w:t>景区门户网站，及时更新上传信息动态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完善了预订、支付、虚拟景区、电子商务等功能，实现了</w:t>
      </w:r>
      <w:r>
        <w:rPr>
          <w:rFonts w:ascii="仿宋" w:hAnsi="仿宋" w:eastAsia="仿宋"/>
          <w:sz w:val="32"/>
          <w:szCs w:val="32"/>
        </w:rPr>
        <w:t>WIFI全覆盖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加强旅游去品牌营销。旅游区充分整合景区范围吃住行游购娱等旅游产品，加强与知名旅游网站合作，实行旅游资源联动宣传。成功举办了越野赛跑、徒步大会等多项主题节庆活动，吸引数万游客参加，进一步强化了旅游去的品牌效应。</w:t>
      </w:r>
    </w:p>
    <w:p>
      <w:pPr>
        <w:widowControl w:val="0"/>
        <w:numPr>
          <w:ilvl w:val="0"/>
          <w:numId w:val="0"/>
        </w:numPr>
        <w:spacing w:line="240" w:lineRule="auto"/>
        <w:ind w:firstLine="640" w:firstLineChars="200"/>
        <w:jc w:val="left"/>
        <w:rPr>
          <w:rFonts w:hint="eastAsia" w:eastAsia="仿宋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ascii="仿宋" w:hAnsi="仿宋" w:eastAsia="仿宋"/>
          <w:sz w:val="32"/>
          <w:szCs w:val="32"/>
        </w:rPr>
        <w:t>加强资源和环境保护。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旅游区</w:t>
      </w:r>
      <w:r>
        <w:rPr>
          <w:rFonts w:ascii="仿宋" w:hAnsi="仿宋" w:eastAsia="仿宋"/>
          <w:sz w:val="32"/>
          <w:szCs w:val="32"/>
        </w:rPr>
        <w:t>投入大量资金用于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区内</w:t>
      </w:r>
      <w:r>
        <w:rPr>
          <w:rFonts w:ascii="仿宋" w:hAnsi="仿宋" w:eastAsia="仿宋"/>
          <w:sz w:val="32"/>
          <w:szCs w:val="32"/>
        </w:rPr>
        <w:t>生态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环境</w:t>
      </w:r>
      <w:r>
        <w:rPr>
          <w:rFonts w:ascii="仿宋" w:hAnsi="仿宋" w:eastAsia="仿宋"/>
          <w:sz w:val="32"/>
          <w:szCs w:val="32"/>
        </w:rPr>
        <w:t>、珍稀植物、野生动物保护。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旅游区</w:t>
      </w:r>
      <w:r>
        <w:rPr>
          <w:rFonts w:ascii="仿宋" w:hAnsi="仿宋" w:eastAsia="仿宋"/>
          <w:sz w:val="32"/>
          <w:szCs w:val="32"/>
        </w:rPr>
        <w:t>大量采用生态环保材料，对输电、通讯等设施进行了隐蔽处理。景区绿化覆盖率达9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ascii="仿宋" w:hAnsi="仿宋" w:eastAsia="仿宋"/>
          <w:sz w:val="32"/>
          <w:szCs w:val="32"/>
        </w:rPr>
        <w:t>%以上，景区内环境优美、空气清新、水体干净、无噪声干扰，空气质量、噪声质量、地面水环境质量、污水排放等指标均达到国标相应标准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B7958"/>
    <w:rsid w:val="04482A32"/>
    <w:rsid w:val="0BAB79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624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2020-10-19T09:44:00Z</dcterms:created>
  <dc:creator>NTKO</dc:creator>
  <cp:lastModifiedBy>NTKO</cp:lastModifiedBy>
  <dcterms:modified xsi:type="dcterms:W3CDTF">2020-10-19T09:45:20Z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