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成都市天府芙蓉园景区</w:t>
      </w: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</w:rPr>
        <w:t>创建国家</w:t>
      </w: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4A</w:t>
      </w: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</w:rPr>
        <w:t>级旅游景区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</w:rPr>
        <w:t>基本情况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一、景区基本情况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天府芙蓉园位于四川省成都市武侯区金花桥街道新苗社区，是成都中心城区的西南边界，毗邻天府新区，为成都环城生态区的一部分，是成都锦城绿道江安森林段的重要节点，通往景区主要道路沿途路况良好，通达性强，标识标牌完整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景区以打造“中国芙蓉赏花第一园、天府文化体验区、成都文化记忆体”为总体定位，构建起以天府文化为特质、以自然生态景观为载体、以多种体验活动为感受、以塑造芙蓉品牌为目标的文商旅相融合的城市空间。天府芙蓉园根据功能布局划分为综合接待区、核心景观区、配套及商业区、农业体验区、植物迷宫区、药田文化区、教育科普区、户外运动区、生活服务区等，充分满足游客游览、观光、食宿、购物等相关旅游需求。园区建设采用了最先进的全息投影、裸眼3D、发光材料、重力感应等体验系统技术，以及智慧灯杆、室外停车引导、智能远程管理等安全服务系统技术，是全国芙蓉品种最多、单园规模最大、科技集成度最高的生态景区，将是成都形象展示的重要窗口，也是天府文化的重要载体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二、创建情况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br w:type="textWrapping"/>
      </w:r>
      <w:r>
        <w:rPr>
          <w:rFonts w:hint="eastAsia" w:ascii="宋体" w:hAnsi="宋体" w:eastAsia="仿宋_GB2312"/>
          <w:color w:val="000000"/>
          <w:sz w:val="32"/>
          <w:szCs w:val="32"/>
          <w:shd w:val="clear" w:color="auto" w:fill="FFFFFF"/>
        </w:rPr>
        <w:t>  </w:t>
      </w:r>
      <w:r>
        <w:rPr>
          <w:rFonts w:hint="eastAsia" w:ascii="仿宋_GB2312" w:eastAsia="仿宋_GB2312"/>
          <w:sz w:val="32"/>
          <w:szCs w:val="32"/>
        </w:rPr>
        <w:t>天府芙蓉园</w:t>
      </w:r>
      <w:r>
        <w:rPr>
          <w:rFonts w:hint="eastAsia" w:ascii="仿宋_GB2312" w:eastAsia="仿宋_GB2312"/>
          <w:sz w:val="32"/>
          <w:szCs w:val="32"/>
          <w:lang w:eastAsia="zh-CN"/>
        </w:rPr>
        <w:t>自</w:t>
      </w:r>
      <w:r>
        <w:rPr>
          <w:rFonts w:hint="eastAsia" w:ascii="仿宋_GB2312" w:eastAsia="仿宋_GB2312"/>
          <w:sz w:val="32"/>
          <w:szCs w:val="32"/>
        </w:rPr>
        <w:t>2018年启动创建国家AAAA级旅游景区工作以来，武侯区委、区政府高度重视、倾力推动，成立了以区长、区委副书记任组长的创建小组，各级各部门各司其职、齐心协力，聘请四川师范大学旅游与城乡规划研究院编制了《天府芙蓉园旅游发展总体规划》，并通过了专家评审，制定了《天府芙蓉园创建国家AAAA级旅游景区实施方案》，严格按照《旅游景区质量等级的划分与评定》国家标准和四川省级标准，开展创建工作。投入专项资金对景区道路、游客中心、标识系统、旅游厕所等方面进行建设提升，强力推进了AAAA旅游景区创建工作，取得重要成效。</w:t>
      </w:r>
    </w:p>
    <w:p>
      <w:pPr>
        <w:pStyle w:val="3"/>
        <w:spacing w:line="560" w:lineRule="exact"/>
        <w:ind w:firstLine="320" w:firstLineChars="100"/>
        <w:rPr>
          <w:rFonts w:ascii="黑体" w:hAnsi="黑体" w:eastAsia="黑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kern w:val="2"/>
          <w:sz w:val="32"/>
          <w:szCs w:val="32"/>
          <w:shd w:val="clear" w:color="auto" w:fill="FFFFFF"/>
        </w:rPr>
        <w:t xml:space="preserve">  三、主要成效</w:t>
      </w:r>
    </w:p>
    <w:p>
      <w:pPr>
        <w:spacing w:line="56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府芙蓉园累计投入32亿元，自2018年启动创建国家AAAA级旅游景区以来，经过一年多时间的提档升级，通过以创促建、以创强管，天府芙蓉园配套设施全面升级、景区管理日趋完善、旅游环境不断优化、接待水平全面提高，实现了良好的经济效益和社会效益。具体表现在七个方面：</w:t>
      </w:r>
    </w:p>
    <w:p>
      <w:pPr>
        <w:numPr>
          <w:ilvl w:val="0"/>
          <w:numId w:val="1"/>
        </w:numPr>
        <w:spacing w:line="580" w:lineRule="exact"/>
        <w:ind w:firstLine="640"/>
        <w:jc w:val="left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基础设施项目成效显著</w:t>
      </w:r>
    </w:p>
    <w:p>
      <w:pPr>
        <w:spacing w:line="580" w:lineRule="exact"/>
        <w:ind w:firstLine="643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一是</w:t>
      </w:r>
      <w:r>
        <w:rPr>
          <w:rFonts w:hint="eastAsia" w:ascii="Times New Roman" w:hAnsi="Times New Roman" w:eastAsia="仿宋_GB2312"/>
          <w:bCs/>
          <w:sz w:val="32"/>
          <w:szCs w:val="32"/>
        </w:rPr>
        <w:t>配合交通部门、园林部门、街道办，</w:t>
      </w:r>
      <w:r>
        <w:rPr>
          <w:rFonts w:ascii="Times New Roman" w:hAnsi="Times New Roman" w:eastAsia="仿宋_GB2312"/>
          <w:bCs/>
          <w:sz w:val="32"/>
          <w:szCs w:val="32"/>
        </w:rPr>
        <w:t>完成</w:t>
      </w:r>
      <w:r>
        <w:rPr>
          <w:rFonts w:hint="eastAsia" w:ascii="Times New Roman" w:hAnsi="Times New Roman" w:eastAsia="仿宋_GB2312"/>
          <w:bCs/>
          <w:sz w:val="32"/>
          <w:szCs w:val="32"/>
        </w:rPr>
        <w:t>景区周边外部道路整改及内部特色道路建设，建成包括生态绿道、旅游休闲步道、田园阡陌道等特色游道在内的旅游交通体系。</w:t>
      </w:r>
      <w:r>
        <w:rPr>
          <w:rFonts w:hint="eastAsia" w:ascii="Times New Roman" w:hAnsi="Times New Roman" w:eastAsia="仿宋_GB2312"/>
          <w:b/>
          <w:sz w:val="32"/>
          <w:szCs w:val="32"/>
        </w:rPr>
        <w:t>二是</w:t>
      </w:r>
      <w:r>
        <w:rPr>
          <w:rFonts w:hint="eastAsia" w:ascii="Times New Roman" w:hAnsi="Times New Roman" w:eastAsia="仿宋_GB2312"/>
          <w:bCs/>
          <w:sz w:val="32"/>
          <w:szCs w:val="32"/>
        </w:rPr>
        <w:t>完成景区游客中心的建设，其</w:t>
      </w:r>
      <w:r>
        <w:rPr>
          <w:rFonts w:ascii="Times New Roman" w:hAnsi="Times New Roman" w:eastAsia="仿宋_GB2312"/>
          <w:bCs/>
          <w:sz w:val="32"/>
          <w:szCs w:val="32"/>
        </w:rPr>
        <w:t>丝带状的造型，蕴含着成都作为南丝绸之路起点的辉煌，体现</w:t>
      </w:r>
      <w:r>
        <w:rPr>
          <w:rFonts w:hint="eastAsia" w:ascii="Times New Roman" w:hAnsi="Times New Roman" w:eastAsia="仿宋_GB2312"/>
          <w:bCs/>
          <w:sz w:val="32"/>
          <w:szCs w:val="32"/>
        </w:rPr>
        <w:t>了</w:t>
      </w:r>
      <w:r>
        <w:rPr>
          <w:rFonts w:ascii="Times New Roman" w:hAnsi="Times New Roman" w:eastAsia="仿宋_GB2312"/>
          <w:bCs/>
          <w:sz w:val="32"/>
          <w:szCs w:val="32"/>
        </w:rPr>
        <w:t>“一带一路”的当代文化内涵；游客中心外立面以城墙为型，墙上遍布芙蓉花，</w:t>
      </w:r>
      <w:r>
        <w:rPr>
          <w:rFonts w:hint="eastAsia" w:ascii="Times New Roman" w:hAnsi="Times New Roman" w:eastAsia="仿宋_GB2312"/>
          <w:bCs/>
          <w:sz w:val="32"/>
          <w:szCs w:val="32"/>
        </w:rPr>
        <w:t>再现城墙遍植芙蓉的美景。</w:t>
      </w:r>
      <w:r>
        <w:rPr>
          <w:rFonts w:hint="eastAsia" w:ascii="Times New Roman" w:hAnsi="Times New Roman" w:eastAsia="仿宋_GB2312"/>
          <w:b/>
          <w:sz w:val="32"/>
          <w:szCs w:val="32"/>
        </w:rPr>
        <w:t>三是</w:t>
      </w:r>
      <w:r>
        <w:rPr>
          <w:rFonts w:hint="eastAsia" w:ascii="Times New Roman" w:hAnsi="Times New Roman" w:eastAsia="仿宋_GB2312"/>
          <w:bCs/>
          <w:sz w:val="32"/>
          <w:szCs w:val="32"/>
        </w:rPr>
        <w:t>目前已建成投用总占地面积达10000平方米的生态停车场，</w:t>
      </w:r>
      <w:r>
        <w:rPr>
          <w:rFonts w:ascii="Times New Roman" w:hAnsi="Times New Roman" w:eastAsia="仿宋_GB2312"/>
          <w:sz w:val="32"/>
          <w:szCs w:val="32"/>
        </w:rPr>
        <w:t>并按照功能要求划分了残疾人停车位、大小停车区、停车分线、回车线，并分设了出入口，</w:t>
      </w:r>
      <w:r>
        <w:rPr>
          <w:rFonts w:hint="eastAsia" w:ascii="Times New Roman" w:hAnsi="Times New Roman" w:eastAsia="仿宋_GB2312"/>
          <w:sz w:val="32"/>
          <w:szCs w:val="32"/>
        </w:rPr>
        <w:t>共计2000</w:t>
      </w:r>
      <w:r>
        <w:rPr>
          <w:rFonts w:ascii="Times New Roman" w:hAnsi="Times New Roman" w:eastAsia="仿宋_GB2312"/>
          <w:sz w:val="32"/>
          <w:szCs w:val="32"/>
        </w:rPr>
        <w:t>余个停车位解决</w:t>
      </w:r>
      <w:r>
        <w:rPr>
          <w:rFonts w:hint="eastAsia" w:ascii="Times New Roman" w:hAnsi="Times New Roman" w:eastAsia="仿宋_GB2312"/>
          <w:sz w:val="32"/>
          <w:szCs w:val="32"/>
        </w:rPr>
        <w:t>了</w:t>
      </w:r>
      <w:r>
        <w:rPr>
          <w:rFonts w:ascii="Times New Roman" w:hAnsi="Times New Roman" w:eastAsia="仿宋_GB2312"/>
          <w:sz w:val="32"/>
          <w:szCs w:val="32"/>
        </w:rPr>
        <w:t>停车难的问题。</w:t>
      </w:r>
    </w:p>
    <w:p>
      <w:pPr>
        <w:numPr>
          <w:ilvl w:val="0"/>
          <w:numId w:val="1"/>
        </w:numPr>
        <w:spacing w:line="580" w:lineRule="exact"/>
        <w:ind w:firstLine="640"/>
        <w:jc w:val="left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游览功能更加完善</w:t>
      </w:r>
    </w:p>
    <w:p>
      <w:pPr>
        <w:spacing w:line="580" w:lineRule="exact"/>
        <w:ind w:firstLine="643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一是</w:t>
      </w:r>
      <w:r>
        <w:rPr>
          <w:rFonts w:ascii="Times New Roman" w:hAnsi="Times New Roman" w:eastAsia="仿宋_GB2312"/>
          <w:sz w:val="32"/>
          <w:szCs w:val="32"/>
        </w:rPr>
        <w:t>总面积达</w:t>
      </w:r>
      <w:r>
        <w:rPr>
          <w:rFonts w:hint="eastAsia" w:ascii="Times New Roman" w:hAnsi="Times New Roman" w:eastAsia="仿宋_GB2312"/>
          <w:sz w:val="32"/>
          <w:szCs w:val="32"/>
        </w:rPr>
        <w:t>4000</w:t>
      </w:r>
      <w:r>
        <w:rPr>
          <w:rFonts w:ascii="Times New Roman" w:hAnsi="Times New Roman" w:eastAsia="仿宋_GB2312"/>
          <w:sz w:val="32"/>
          <w:szCs w:val="32"/>
        </w:rPr>
        <w:t>平米的游客中心</w:t>
      </w:r>
      <w:r>
        <w:rPr>
          <w:rFonts w:hint="eastAsia" w:ascii="Times New Roman" w:hAnsi="Times New Roman" w:eastAsia="仿宋_GB2312"/>
          <w:sz w:val="32"/>
          <w:szCs w:val="32"/>
        </w:rPr>
        <w:t>，打造国内首例“游客中心+文创书店”模式。将国内知名文创书店“言几又”与芙蓉文化有机融合，营造了涵盖书店、咖啡厅、艺术画廊、文创生活馆、创意孵化地、科技互动场的全功能城市空间，同时配备游客中心基础功能，设置了咨询接待处、旅游购物商店、沉浸式体验馆、医务室、母婴室、投诉室、多功能触摸屏、旅游厕所等功能设施。</w:t>
      </w:r>
      <w:r>
        <w:rPr>
          <w:rFonts w:ascii="Times New Roman" w:hAnsi="Times New Roman" w:eastAsia="仿宋_GB2312"/>
          <w:b/>
          <w:sz w:val="32"/>
          <w:szCs w:val="32"/>
        </w:rPr>
        <w:t>二是</w:t>
      </w:r>
      <w:r>
        <w:rPr>
          <w:rFonts w:ascii="Times New Roman" w:hAnsi="Times New Roman" w:eastAsia="仿宋_GB2312"/>
          <w:sz w:val="32"/>
          <w:szCs w:val="32"/>
        </w:rPr>
        <w:t>结合</w:t>
      </w:r>
      <w:r>
        <w:rPr>
          <w:rFonts w:hint="eastAsia" w:ascii="Times New Roman" w:hAnsi="Times New Roman" w:eastAsia="仿宋_GB2312"/>
          <w:sz w:val="32"/>
          <w:szCs w:val="32"/>
        </w:rPr>
        <w:t>天府芙蓉园旅游</w:t>
      </w:r>
      <w:r>
        <w:rPr>
          <w:rFonts w:ascii="Times New Roman" w:hAnsi="Times New Roman" w:eastAsia="仿宋_GB2312"/>
          <w:sz w:val="32"/>
          <w:szCs w:val="32"/>
        </w:rPr>
        <w:t>景区地域特色建立</w:t>
      </w:r>
      <w:r>
        <w:rPr>
          <w:rFonts w:hint="eastAsia" w:ascii="Times New Roman" w:hAnsi="Times New Roman" w:eastAsia="仿宋_GB2312"/>
          <w:sz w:val="32"/>
          <w:szCs w:val="32"/>
        </w:rPr>
        <w:t>天府芙蓉园旅游</w:t>
      </w:r>
      <w:r>
        <w:rPr>
          <w:rFonts w:ascii="Times New Roman" w:hAnsi="Times New Roman" w:eastAsia="仿宋_GB2312"/>
          <w:sz w:val="32"/>
          <w:szCs w:val="32"/>
        </w:rPr>
        <w:t>景区导视系统、智慧讲解系统，优化设计</w:t>
      </w:r>
      <w:r>
        <w:rPr>
          <w:rFonts w:hint="eastAsia" w:ascii="Times New Roman" w:hAnsi="Times New Roman" w:eastAsia="仿宋_GB2312"/>
          <w:sz w:val="32"/>
          <w:szCs w:val="32"/>
        </w:rPr>
        <w:t>天府芙蓉园</w:t>
      </w:r>
      <w:r>
        <w:rPr>
          <w:rFonts w:ascii="Times New Roman" w:hAnsi="Times New Roman" w:eastAsia="仿宋_GB2312"/>
          <w:sz w:val="32"/>
          <w:szCs w:val="32"/>
        </w:rPr>
        <w:t>LOGO。</w:t>
      </w:r>
      <w:r>
        <w:rPr>
          <w:rFonts w:ascii="Times New Roman" w:hAnsi="Times New Roman" w:eastAsia="仿宋_GB2312"/>
          <w:b/>
          <w:sz w:val="32"/>
          <w:szCs w:val="32"/>
        </w:rPr>
        <w:t>三是</w:t>
      </w:r>
      <w:r>
        <w:rPr>
          <w:rFonts w:ascii="Times New Roman" w:hAnsi="Times New Roman" w:eastAsia="仿宋_GB2312"/>
          <w:sz w:val="32"/>
          <w:szCs w:val="32"/>
        </w:rPr>
        <w:t>新增标识标牌</w:t>
      </w:r>
      <w:r>
        <w:rPr>
          <w:rFonts w:hint="eastAsia" w:ascii="Times New Roman" w:hAnsi="Times New Roman" w:eastAsia="仿宋_GB2312"/>
          <w:sz w:val="32"/>
          <w:szCs w:val="32"/>
        </w:rPr>
        <w:t>400</w:t>
      </w:r>
      <w:r>
        <w:rPr>
          <w:rFonts w:ascii="Times New Roman" w:hAnsi="Times New Roman" w:eastAsia="仿宋_GB2312"/>
          <w:sz w:val="32"/>
          <w:szCs w:val="32"/>
        </w:rPr>
        <w:t>多块，各类导览标牌一应俱全。</w:t>
      </w:r>
      <w:r>
        <w:rPr>
          <w:rFonts w:ascii="Times New Roman" w:hAnsi="Times New Roman" w:eastAsia="仿宋_GB2312"/>
          <w:b/>
          <w:sz w:val="32"/>
          <w:szCs w:val="32"/>
        </w:rPr>
        <w:t>四是</w:t>
      </w:r>
      <w:r>
        <w:rPr>
          <w:rFonts w:ascii="Times New Roman" w:hAnsi="Times New Roman" w:eastAsia="仿宋_GB2312"/>
          <w:sz w:val="32"/>
          <w:szCs w:val="32"/>
        </w:rPr>
        <w:t>制作宣传、广告、书籍</w:t>
      </w:r>
      <w:r>
        <w:rPr>
          <w:rFonts w:hint="eastAsia" w:ascii="Times New Roman" w:hAnsi="Times New Roman" w:eastAsia="仿宋_GB2312"/>
          <w:sz w:val="32"/>
          <w:szCs w:val="32"/>
        </w:rPr>
        <w:t>2000余</w:t>
      </w:r>
      <w:r>
        <w:rPr>
          <w:rFonts w:ascii="Times New Roman" w:hAnsi="Times New Roman" w:eastAsia="仿宋_GB2312"/>
          <w:sz w:val="32"/>
          <w:szCs w:val="32"/>
        </w:rPr>
        <w:t>份。</w:t>
      </w:r>
    </w:p>
    <w:p>
      <w:pPr>
        <w:numPr>
          <w:ilvl w:val="0"/>
          <w:numId w:val="1"/>
        </w:numPr>
        <w:spacing w:line="580" w:lineRule="exact"/>
        <w:ind w:firstLine="640"/>
        <w:jc w:val="left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智慧景区体系完善</w:t>
      </w:r>
    </w:p>
    <w:p>
      <w:pPr>
        <w:spacing w:line="580" w:lineRule="exac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智慧旅游系统全面接入市网和省网，“</w:t>
      </w:r>
      <w:r>
        <w:rPr>
          <w:rFonts w:hint="eastAsia" w:ascii="Times New Roman" w:hAnsi="Times New Roman" w:eastAsia="仿宋_GB2312"/>
          <w:sz w:val="32"/>
          <w:szCs w:val="32"/>
        </w:rPr>
        <w:t>天府芙蓉园</w:t>
      </w:r>
      <w:r>
        <w:rPr>
          <w:rFonts w:ascii="Times New Roman" w:hAnsi="Times New Roman" w:eastAsia="仿宋_GB2312"/>
          <w:sz w:val="32"/>
          <w:szCs w:val="32"/>
        </w:rPr>
        <w:t>官网”运行良好，实现了远程预订功能。完成景区中英文语音播报</w:t>
      </w:r>
      <w:r>
        <w:rPr>
          <w:rFonts w:hint="eastAsia" w:ascii="Times New Roman" w:hAnsi="Times New Roman" w:eastAsia="仿宋_GB2312"/>
          <w:sz w:val="32"/>
          <w:szCs w:val="32"/>
        </w:rPr>
        <w:t>11</w:t>
      </w:r>
      <w:r>
        <w:rPr>
          <w:rFonts w:ascii="Times New Roman" w:hAnsi="Times New Roman" w:eastAsia="仿宋_GB2312"/>
          <w:sz w:val="32"/>
          <w:szCs w:val="32"/>
        </w:rPr>
        <w:t>个，智能地图导航、触摸屏查询等智能项目10余个，景区广播布点144个。新建微信公众平台，实现景区</w:t>
      </w:r>
      <w:r>
        <w:rPr>
          <w:rFonts w:hint="eastAsia" w:ascii="Times New Roman" w:hAnsi="Times New Roman" w:eastAsia="仿宋_GB2312"/>
          <w:sz w:val="32"/>
          <w:szCs w:val="32"/>
        </w:rPr>
        <w:t>游客中心</w:t>
      </w:r>
      <w:r>
        <w:rPr>
          <w:rFonts w:ascii="Times New Roman" w:hAnsi="Times New Roman" w:eastAsia="仿宋_GB2312"/>
          <w:sz w:val="32"/>
          <w:szCs w:val="32"/>
        </w:rPr>
        <w:t>WIFI、主要景点二维码导览“全覆盖”。</w:t>
      </w:r>
    </w:p>
    <w:p>
      <w:pPr>
        <w:numPr>
          <w:ilvl w:val="0"/>
          <w:numId w:val="1"/>
        </w:numPr>
        <w:spacing w:line="580" w:lineRule="exact"/>
        <w:ind w:firstLine="64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配套设施日趋健全</w:t>
      </w:r>
    </w:p>
    <w:p>
      <w:pPr>
        <w:spacing w:line="580" w:lineRule="exact"/>
        <w:ind w:firstLine="643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一是</w:t>
      </w:r>
      <w:r>
        <w:rPr>
          <w:rFonts w:ascii="Times New Roman" w:hAnsi="Times New Roman" w:eastAsia="仿宋_GB2312"/>
          <w:sz w:val="32"/>
          <w:szCs w:val="32"/>
        </w:rPr>
        <w:t>推进“厕所革命”，按照标准新建A级厕所16处，主要景点和游客集中地均配置家庭卫生间，方便特殊人群的需要。</w:t>
      </w:r>
      <w:r>
        <w:rPr>
          <w:rFonts w:ascii="Times New Roman" w:hAnsi="Times New Roman" w:eastAsia="仿宋_GB2312"/>
          <w:b/>
          <w:sz w:val="32"/>
          <w:szCs w:val="32"/>
        </w:rPr>
        <w:t>二是</w:t>
      </w:r>
      <w:r>
        <w:rPr>
          <w:rFonts w:ascii="Times New Roman" w:hAnsi="Times New Roman" w:eastAsia="仿宋_GB2312"/>
          <w:sz w:val="32"/>
          <w:szCs w:val="32"/>
        </w:rPr>
        <w:t>建立24小时闭路监控系统，</w:t>
      </w:r>
      <w:r>
        <w:rPr>
          <w:rFonts w:hint="eastAsia" w:ascii="Times New Roman" w:hAnsi="Times New Roman" w:eastAsia="仿宋_GB2312"/>
          <w:sz w:val="32"/>
          <w:szCs w:val="32"/>
        </w:rPr>
        <w:t>设置</w:t>
      </w:r>
      <w:r>
        <w:rPr>
          <w:rFonts w:ascii="Times New Roman" w:hAnsi="Times New Roman" w:eastAsia="仿宋_GB2312"/>
          <w:sz w:val="32"/>
          <w:szCs w:val="32"/>
        </w:rPr>
        <w:t>监控点</w:t>
      </w:r>
      <w:r>
        <w:rPr>
          <w:rFonts w:hint="eastAsia" w:ascii="Times New Roman" w:hAnsi="Times New Roman" w:eastAsia="仿宋_GB2312"/>
          <w:sz w:val="32"/>
          <w:szCs w:val="32"/>
        </w:rPr>
        <w:t>50</w:t>
      </w:r>
      <w:r>
        <w:rPr>
          <w:rFonts w:ascii="Times New Roman" w:hAnsi="Times New Roman" w:eastAsia="仿宋_GB2312"/>
          <w:sz w:val="32"/>
          <w:szCs w:val="32"/>
        </w:rPr>
        <w:t>个，实现全景区覆盖。</w:t>
      </w:r>
      <w:r>
        <w:rPr>
          <w:rFonts w:ascii="Times New Roman" w:hAnsi="Times New Roman" w:eastAsia="仿宋_GB2312"/>
          <w:b/>
          <w:sz w:val="32"/>
          <w:szCs w:val="32"/>
        </w:rPr>
        <w:t>三是</w:t>
      </w:r>
      <w:r>
        <w:rPr>
          <w:rFonts w:ascii="Times New Roman" w:hAnsi="Times New Roman" w:eastAsia="仿宋_GB2312"/>
          <w:sz w:val="32"/>
          <w:szCs w:val="32"/>
        </w:rPr>
        <w:t>配备消防栓</w:t>
      </w:r>
      <w:r>
        <w:rPr>
          <w:rFonts w:hint="eastAsia" w:ascii="Times New Roman" w:hAnsi="Times New Roman" w:eastAsia="仿宋_GB2312"/>
          <w:sz w:val="32"/>
          <w:szCs w:val="32"/>
        </w:rPr>
        <w:t>30</w:t>
      </w:r>
      <w:r>
        <w:rPr>
          <w:rFonts w:ascii="Times New Roman" w:hAnsi="Times New Roman" w:eastAsia="仿宋_GB2312"/>
          <w:sz w:val="32"/>
          <w:szCs w:val="32"/>
        </w:rPr>
        <w:t>个，手提灭火器</w:t>
      </w:r>
      <w:r>
        <w:rPr>
          <w:rFonts w:hint="eastAsia" w:ascii="Times New Roman" w:hAnsi="Times New Roman" w:eastAsia="仿宋_GB2312"/>
          <w:sz w:val="32"/>
          <w:szCs w:val="32"/>
        </w:rPr>
        <w:t>60</w:t>
      </w:r>
      <w:r>
        <w:rPr>
          <w:rFonts w:ascii="Times New Roman" w:hAnsi="Times New Roman" w:eastAsia="仿宋_GB2312"/>
          <w:sz w:val="32"/>
          <w:szCs w:val="32"/>
        </w:rPr>
        <w:t>个，水罐车1辆，多功能抢险车1辆，个人防护装备和特种器材</w:t>
      </w:r>
      <w:r>
        <w:rPr>
          <w:rFonts w:hint="eastAsia" w:ascii="Times New Roman" w:hAnsi="Times New Roman" w:eastAsia="仿宋_GB2312"/>
          <w:sz w:val="32"/>
          <w:szCs w:val="32"/>
        </w:rPr>
        <w:t>15</w:t>
      </w:r>
      <w:r>
        <w:rPr>
          <w:rFonts w:ascii="Times New Roman" w:hAnsi="Times New Roman" w:eastAsia="仿宋_GB2312"/>
          <w:sz w:val="32"/>
          <w:szCs w:val="32"/>
        </w:rPr>
        <w:t>种</w:t>
      </w:r>
      <w:r>
        <w:rPr>
          <w:rFonts w:hint="eastAsia" w:ascii="Times New Roman" w:hAnsi="Times New Roman" w:eastAsia="仿宋_GB2312"/>
          <w:sz w:val="32"/>
          <w:szCs w:val="32"/>
        </w:rPr>
        <w:t>共80</w:t>
      </w:r>
      <w:r>
        <w:rPr>
          <w:rFonts w:ascii="Times New Roman" w:hAnsi="Times New Roman" w:eastAsia="仿宋_GB2312"/>
          <w:sz w:val="32"/>
          <w:szCs w:val="32"/>
        </w:rPr>
        <w:t>套</w:t>
      </w:r>
      <w:r>
        <w:rPr>
          <w:rFonts w:hint="eastAsia" w:ascii="Times New Roman" w:hAnsi="Times New Roman" w:eastAsia="仿宋_GB2312"/>
          <w:sz w:val="32"/>
          <w:szCs w:val="32"/>
        </w:rPr>
        <w:t>以及</w:t>
      </w:r>
      <w:r>
        <w:rPr>
          <w:rFonts w:ascii="Times New Roman" w:hAnsi="Times New Roman" w:eastAsia="仿宋_GB2312"/>
          <w:sz w:val="32"/>
          <w:szCs w:val="32"/>
        </w:rPr>
        <w:t>消防车1辆</w:t>
      </w:r>
      <w:r>
        <w:rPr>
          <w:rFonts w:hint="eastAsia" w:ascii="Times New Roman" w:hAnsi="Times New Roman" w:eastAsia="仿宋_GB2312"/>
          <w:sz w:val="32"/>
          <w:szCs w:val="32"/>
        </w:rPr>
        <w:t>等部分</w:t>
      </w:r>
      <w:r>
        <w:rPr>
          <w:rFonts w:ascii="Times New Roman" w:hAnsi="Times New Roman" w:eastAsia="仿宋_GB2312"/>
          <w:sz w:val="32"/>
          <w:szCs w:val="32"/>
        </w:rPr>
        <w:t>专业消防设备。</w:t>
      </w:r>
      <w:r>
        <w:rPr>
          <w:rFonts w:ascii="Times New Roman" w:hAnsi="仿宋_GB2312" w:eastAsia="仿宋_GB2312"/>
          <w:b/>
          <w:sz w:val="32"/>
          <w:szCs w:val="32"/>
        </w:rPr>
        <w:t>四</w:t>
      </w:r>
      <w:r>
        <w:rPr>
          <w:rFonts w:ascii="Times New Roman" w:hAnsi="仿宋_GB2312" w:eastAsia="仿宋_GB2312"/>
          <w:b/>
          <w:sz w:val="32"/>
          <w:szCs w:val="32"/>
          <w:shd w:val="clear" w:color="auto" w:fill="FFFFFF"/>
        </w:rPr>
        <w:t>是</w:t>
      </w:r>
      <w:r>
        <w:rPr>
          <w:rFonts w:ascii="Times New Roman" w:hAnsi="Times New Roman" w:eastAsia="仿宋_GB2312"/>
          <w:sz w:val="32"/>
          <w:szCs w:val="32"/>
        </w:rPr>
        <w:t>强化景区生态环保设备投入，</w:t>
      </w:r>
      <w:r>
        <w:rPr>
          <w:rFonts w:hint="eastAsia" w:ascii="Times New Roman" w:hAnsi="Times New Roman" w:eastAsia="仿宋_GB2312"/>
          <w:sz w:val="32"/>
          <w:szCs w:val="32"/>
        </w:rPr>
        <w:t>购置景区节能降耗设备、环卫清洁设备若干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（五）景区整治全面强化</w:t>
      </w:r>
    </w:p>
    <w:p>
      <w:pPr>
        <w:spacing w:line="580" w:lineRule="exact"/>
        <w:ind w:firstLine="643"/>
        <w:rPr>
          <w:rFonts w:ascii="Times New Roman" w:hAnsi="Times New Roman" w:eastAsia="仿宋_GB2312"/>
          <w:sz w:val="32"/>
          <w:szCs w:val="24"/>
        </w:rPr>
      </w:pPr>
      <w:r>
        <w:rPr>
          <w:rFonts w:ascii="Times New Roman" w:hAnsi="Times New Roman" w:eastAsia="仿宋_GB2312"/>
          <w:b/>
          <w:sz w:val="32"/>
          <w:szCs w:val="32"/>
        </w:rPr>
        <w:t>一是</w:t>
      </w:r>
      <w:r>
        <w:rPr>
          <w:rFonts w:ascii="Times New Roman" w:hAnsi="Times New Roman" w:eastAsia="仿宋_GB2312"/>
          <w:sz w:val="32"/>
          <w:szCs w:val="32"/>
        </w:rPr>
        <w:t>新建景区安全巡查、停车场管理、应急疏散、景区防恐、OA办公系统、门票管理、员工形象等内部管理制度预案共100余项。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二是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建立安全体系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/>
          <w:sz w:val="32"/>
          <w:szCs w:val="32"/>
        </w:rPr>
        <w:t>设置避灾场所4处，应急医疗室1个，专职消防队1个，防汛中心1处，确保游客突发伤害事故、旅游质量投诉等问题能在第一时间得到最好解决。</w:t>
      </w:r>
      <w:r>
        <w:rPr>
          <w:rFonts w:ascii="Times New Roman" w:hAnsi="Times New Roman" w:eastAsia="仿宋_GB2312"/>
          <w:b/>
          <w:bCs/>
          <w:sz w:val="32"/>
          <w:szCs w:val="32"/>
        </w:rPr>
        <w:t>三是</w:t>
      </w:r>
      <w:r>
        <w:rPr>
          <w:rFonts w:ascii="Times New Roman" w:hAnsi="仿宋_GB2312" w:eastAsia="仿宋_GB2312"/>
          <w:sz w:val="32"/>
          <w:szCs w:val="32"/>
        </w:rPr>
        <w:t>整合职能部门、旅游协会、</w:t>
      </w:r>
      <w:r>
        <w:rPr>
          <w:rFonts w:hint="eastAsia" w:ascii="Times New Roman" w:hAnsi="仿宋_GB2312" w:eastAsia="仿宋_GB2312"/>
          <w:sz w:val="32"/>
          <w:szCs w:val="32"/>
        </w:rPr>
        <w:t>街道办</w:t>
      </w:r>
      <w:r>
        <w:rPr>
          <w:rFonts w:ascii="Times New Roman" w:hAnsi="仿宋_GB2312" w:eastAsia="仿宋_GB2312"/>
          <w:sz w:val="32"/>
          <w:szCs w:val="32"/>
        </w:rPr>
        <w:t>力量，联合执法检查，</w:t>
      </w:r>
      <w:r>
        <w:rPr>
          <w:rFonts w:ascii="Times New Roman" w:hAnsi="Times New Roman" w:eastAsia="仿宋_GB2312"/>
          <w:sz w:val="32"/>
          <w:szCs w:val="24"/>
        </w:rPr>
        <w:t>持续整治景区无证照经营、偷排乱排污水、乱停乱放、乱修乱建等旅游乱象，有效规范景区旅游环境。</w:t>
      </w:r>
    </w:p>
    <w:p>
      <w:pPr>
        <w:ind w:firstLine="64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</w:rPr>
        <w:t>（六）形象品牌不断提升</w:t>
      </w:r>
    </w:p>
    <w:p>
      <w:pPr>
        <w:spacing w:line="580" w:lineRule="exact"/>
        <w:ind w:firstLine="640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天府芙蓉园多次举办简单生活节、天府芙蓉花节、芙蓉灯彩节、国际非物质文化遗产节等旅游活动，塑造了“芙蓉园</w:t>
      </w:r>
      <w:r>
        <w:rPr>
          <w:rFonts w:hint="eastAsia" w:ascii="微软雅黑" w:hAnsi="微软雅黑" w:eastAsia="微软雅黑" w:cs="微软雅黑"/>
          <w:sz w:val="32"/>
          <w:szCs w:val="24"/>
        </w:rPr>
        <w:t>•</w:t>
      </w:r>
      <w:r>
        <w:rPr>
          <w:rFonts w:hint="eastAsia" w:ascii="Times New Roman" w:hAnsi="Times New Roman" w:eastAsia="仿宋_GB2312"/>
          <w:sz w:val="32"/>
          <w:szCs w:val="24"/>
        </w:rPr>
        <w:t>话成都”的景区形象，尽显成都包罗万象的安逸百态，成为成都市民日常约耍的城市生态空间。</w:t>
      </w:r>
    </w:p>
    <w:p>
      <w:pPr>
        <w:spacing w:line="580" w:lineRule="exact"/>
        <w:ind w:firstLine="64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七</w:t>
      </w:r>
      <w:r>
        <w:rPr>
          <w:rFonts w:ascii="Times New Roman" w:hAnsi="Times New Roman" w:eastAsia="楷体_GB2312"/>
          <w:b/>
          <w:bCs/>
          <w:sz w:val="32"/>
          <w:szCs w:val="32"/>
        </w:rPr>
        <w:t>）综合效应明显增强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一是</w:t>
      </w:r>
      <w:r>
        <w:rPr>
          <w:rFonts w:hint="eastAsia" w:ascii="Times New Roman" w:hAnsi="Times New Roman" w:eastAsia="仿宋_GB2312"/>
          <w:sz w:val="32"/>
          <w:szCs w:val="32"/>
        </w:rPr>
        <w:t>生态效益突出，天府芙蓉园拥有大面积生态湿地，园内植被覆盖率极高，生态多样性十分突出，具有较好的生态保护、水资源调蓄、小气候调节等功能，是成都市生态湿地的重要组成部分。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二是</w:t>
      </w:r>
      <w:r>
        <w:rPr>
          <w:rFonts w:hint="eastAsia" w:ascii="Times New Roman" w:hAnsi="Times New Roman" w:eastAsia="仿宋_GB2312"/>
          <w:sz w:val="32"/>
          <w:szCs w:val="32"/>
        </w:rPr>
        <w:t>社会效益明显，天府芙蓉园极大的改善了周边的人居环境，旅游发展促进周边地区基础设施建设完善，景区继承天府文化和芙蓉文化，提高了人们的文化认同感，构建了成都历史文化记忆体。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三是</w:t>
      </w:r>
      <w:r>
        <w:rPr>
          <w:rFonts w:hint="eastAsia" w:ascii="Times New Roman" w:hAnsi="Times New Roman" w:eastAsia="仿宋_GB2312"/>
          <w:sz w:val="32"/>
          <w:szCs w:val="32"/>
        </w:rPr>
        <w:t>旅游产业融合发展，天府芙蓉园积极推动旅游与体育、农业、研学、商业、生态等产业融合发展，打造了天府绿道跨年跑、轮作区、十二篱院等旅游产品。</w:t>
      </w:r>
    </w:p>
    <w:p/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C7320"/>
    <w:multiLevelType w:val="singleLevel"/>
    <w:tmpl w:val="62BC732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C685F"/>
    <w:rsid w:val="427A4F72"/>
    <w:rsid w:val="55AC685F"/>
    <w:rsid w:val="5C4F65EF"/>
    <w:rsid w:val="7C73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2019-12-05T07:18:00Z</dcterms:created>
  <dc:creator>Administrator</dc:creator>
  <cp:lastModifiedBy>Administrator</cp:lastModifiedBy>
  <dcterms:modified xsi:type="dcterms:W3CDTF">2019-12-05T07:40:02Z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