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both"/>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p>
    <w:p>
      <w:pPr>
        <w:spacing w:line="7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关于优化供给提升公共文化服务效能的</w:t>
      </w:r>
    </w:p>
    <w:p>
      <w:pPr>
        <w:spacing w:line="70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实施意见</w:t>
      </w:r>
      <w:r>
        <w:rPr>
          <w:rFonts w:hint="eastAsia" w:ascii="方正小标宋简体" w:hAnsi="方正小标宋简体" w:eastAsia="方正小标宋简体" w:cs="方正小标宋简体"/>
          <w:color w:val="auto"/>
          <w:sz w:val="44"/>
          <w:szCs w:val="44"/>
          <w:lang w:eastAsia="zh-CN"/>
        </w:rPr>
        <w:t>（征求意见稿）</w:t>
      </w:r>
    </w:p>
    <w:p>
      <w:pPr>
        <w:rPr>
          <w:color w:val="auto"/>
          <w:sz w:val="32"/>
          <w:szCs w:val="32"/>
        </w:rPr>
      </w:pPr>
    </w:p>
    <w:p>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为深入贯彻党中央、国务院关于加快构建现代公共文化服务体系的总体部署，持续提升公共文化服务效能，现结合我省实际提出如下意见。</w:t>
      </w:r>
    </w:p>
    <w:p>
      <w:pPr>
        <w:spacing w:line="5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一、总体要求</w:t>
      </w:r>
    </w:p>
    <w:p>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坚持以习近平新时代中国特色社会主义思想为指导，全面贯彻落实党的十九大和</w:t>
      </w:r>
      <w:r>
        <w:rPr>
          <w:rFonts w:hint="eastAsia" w:ascii="仿宋_GB2312" w:hAnsi="仿宋_GB2312" w:eastAsia="仿宋_GB2312" w:cs="仿宋_GB2312"/>
          <w:color w:val="auto"/>
          <w:sz w:val="32"/>
          <w:szCs w:val="32"/>
          <w:lang w:val="en-US" w:eastAsia="zh-CN"/>
        </w:rPr>
        <w:t>省委十一届历次全会</w:t>
      </w:r>
      <w:r>
        <w:rPr>
          <w:rFonts w:hint="eastAsia" w:ascii="仿宋_GB2312" w:hAnsi="仿宋_GB2312" w:eastAsia="仿宋_GB2312" w:cs="仿宋_GB2312"/>
          <w:color w:val="auto"/>
          <w:sz w:val="32"/>
          <w:szCs w:val="32"/>
        </w:rPr>
        <w:t>精神，深入学习贯彻习近平总书记对四川工作系列重要指示精神，坚持政府主导、社会参与，突出特色、共建共享，</w:t>
      </w:r>
      <w:r>
        <w:rPr>
          <w:rFonts w:hint="eastAsia" w:ascii="仿宋_GB2312" w:hAnsi="仿宋_GB2312" w:eastAsia="仿宋_GB2312" w:cs="仿宋_GB2312"/>
          <w:color w:val="auto"/>
          <w:sz w:val="32"/>
          <w:szCs w:val="32"/>
          <w:lang w:eastAsia="zh-CN"/>
        </w:rPr>
        <w:t>供给</w:t>
      </w:r>
      <w:r>
        <w:rPr>
          <w:rFonts w:hint="eastAsia" w:ascii="仿宋_GB2312" w:hAnsi="仿宋_GB2312" w:eastAsia="仿宋_GB2312" w:cs="仿宋_GB2312"/>
          <w:color w:val="auto"/>
          <w:sz w:val="32"/>
          <w:szCs w:val="32"/>
        </w:rPr>
        <w:t>精准</w:t>
      </w:r>
      <w:r>
        <w:rPr>
          <w:rFonts w:hint="eastAsia" w:ascii="仿宋_GB2312" w:hAnsi="仿宋_GB2312" w:eastAsia="仿宋_GB2312" w:cs="仿宋_GB2312"/>
          <w:color w:val="auto"/>
          <w:sz w:val="32"/>
          <w:szCs w:val="32"/>
          <w:lang w:eastAsia="zh-CN"/>
        </w:rPr>
        <w:t>、高效便捷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提高公共文化设施覆盖率</w:t>
      </w:r>
      <w:r>
        <w:rPr>
          <w:rFonts w:hint="eastAsia" w:ascii="仿宋_GB2312" w:hAnsi="仿宋_GB2312" w:eastAsia="仿宋_GB2312" w:cs="仿宋_GB2312"/>
          <w:color w:val="auto"/>
          <w:sz w:val="32"/>
          <w:szCs w:val="32"/>
        </w:rPr>
        <w:t>，丰富优质</w:t>
      </w:r>
      <w:r>
        <w:rPr>
          <w:rFonts w:hint="eastAsia" w:ascii="仿宋_GB2312" w:hAnsi="仿宋_GB2312" w:eastAsia="仿宋_GB2312" w:cs="仿宋_GB2312"/>
          <w:color w:val="auto"/>
          <w:sz w:val="32"/>
          <w:szCs w:val="32"/>
          <w:lang w:eastAsia="zh-CN"/>
        </w:rPr>
        <w:t>对路的</w:t>
      </w:r>
      <w:r>
        <w:rPr>
          <w:rFonts w:hint="eastAsia" w:ascii="仿宋_GB2312" w:hAnsi="仿宋_GB2312" w:eastAsia="仿宋_GB2312" w:cs="仿宋_GB2312"/>
          <w:color w:val="auto"/>
          <w:sz w:val="32"/>
          <w:szCs w:val="32"/>
        </w:rPr>
        <w:t>文化产品，</w:t>
      </w:r>
      <w:r>
        <w:rPr>
          <w:rFonts w:hint="eastAsia" w:ascii="仿宋_GB2312" w:hAnsi="仿宋_GB2312" w:eastAsia="仿宋_GB2312" w:cs="仿宋_GB2312"/>
          <w:color w:val="auto"/>
          <w:sz w:val="32"/>
          <w:szCs w:val="32"/>
          <w:lang w:eastAsia="zh-CN"/>
        </w:rPr>
        <w:t>优化公共服务路径，</w:t>
      </w:r>
      <w:r>
        <w:rPr>
          <w:rFonts w:hint="eastAsia" w:ascii="仿宋_GB2312" w:hAnsi="仿宋_GB2312" w:eastAsia="仿宋_GB2312" w:cs="仿宋_GB2312"/>
          <w:color w:val="auto"/>
          <w:sz w:val="32"/>
          <w:szCs w:val="32"/>
        </w:rPr>
        <w:t>提升公共文化服务效能，为建设文化强省旅游强省</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color w:val="auto"/>
          <w:sz w:val="32"/>
          <w:szCs w:val="32"/>
        </w:rPr>
        <w:t>。</w:t>
      </w:r>
    </w:p>
    <w:p>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到2022年，</w:t>
      </w:r>
      <w:r>
        <w:rPr>
          <w:rFonts w:hint="eastAsia" w:ascii="仿宋_GB2312" w:hAnsi="仿宋_GB2312" w:eastAsia="仿宋_GB2312" w:cs="仿宋_GB2312"/>
          <w:color w:val="auto"/>
          <w:sz w:val="32"/>
          <w:szCs w:val="32"/>
          <w:lang w:eastAsia="zh-CN"/>
        </w:rPr>
        <w:t>通过公共图书馆“六大行动”、文化馆“六大行动”、博物馆“</w:t>
      </w:r>
      <w:r>
        <w:rPr>
          <w:rFonts w:hint="eastAsia" w:ascii="仿宋_GB2312" w:hAnsi="仿宋_GB2312" w:eastAsia="仿宋_GB2312" w:cs="仿宋_GB2312"/>
          <w:color w:val="auto"/>
          <w:sz w:val="32"/>
          <w:szCs w:val="32"/>
          <w:lang w:val="en-US" w:eastAsia="zh-CN"/>
        </w:rPr>
        <w:t>九大任务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全省建成国家公共文化服务体系示范区4个、示范项目8个，省级现代公共文化服务体系示范县21个，8</w:t>
      </w:r>
      <w:r>
        <w:rPr>
          <w:rFonts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rPr>
        <w:t>%的公共图书馆、8</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%的文化馆达到部颁三级馆标准以上，全省博物馆</w:t>
      </w:r>
      <w:r>
        <w:rPr>
          <w:rFonts w:hint="eastAsia" w:ascii="仿宋_GB2312" w:hAnsi="仿宋_GB2312" w:eastAsia="仿宋_GB2312" w:cs="仿宋_GB2312"/>
          <w:color w:val="auto"/>
          <w:sz w:val="32"/>
          <w:szCs w:val="32"/>
          <w:lang w:eastAsia="zh-CN"/>
        </w:rPr>
        <w:t>总数</w:t>
      </w:r>
      <w:r>
        <w:rPr>
          <w:rFonts w:hint="eastAsia" w:ascii="仿宋_GB2312" w:hAnsi="仿宋_GB2312" w:eastAsia="仿宋_GB2312" w:cs="仿宋_GB2312"/>
          <w:color w:val="auto"/>
          <w:sz w:val="32"/>
          <w:szCs w:val="32"/>
        </w:rPr>
        <w:t>突破300座，国家级博物馆总数突破50座，年服务公众6000万人次以上，年开展青少年教育活动10000场次以上，全面实现设施标准化、资源共享化、服务网络化、运行一体化、参与便捷化，群众满意度、获得感不断提高。</w:t>
      </w:r>
    </w:p>
    <w:p>
      <w:pPr>
        <w:spacing w:line="5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二、完善公共文化设施网络</w:t>
      </w:r>
    </w:p>
    <w:p>
      <w:pPr>
        <w:ind w:firstLine="640" w:firstLineChars="200"/>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rPr>
        <w:t>（一）优化场馆规划布局。</w:t>
      </w:r>
      <w:r>
        <w:rPr>
          <w:rFonts w:hint="eastAsia" w:ascii="仿宋_GB2312" w:hAnsi="仿宋_GB2312" w:eastAsia="仿宋_GB2312" w:cs="仿宋_GB2312"/>
          <w:color w:val="auto"/>
          <w:sz w:val="32"/>
          <w:szCs w:val="32"/>
        </w:rPr>
        <w:t>合理规划、建设、使用公共文化设施</w:t>
      </w:r>
      <w:r>
        <w:rPr>
          <w:rFonts w:hint="eastAsia" w:ascii="仿宋_GB2312" w:hAnsi="仿宋_GB2312" w:eastAsia="仿宋_GB2312" w:cs="仿宋_GB2312"/>
          <w:color w:val="auto"/>
          <w:sz w:val="32"/>
          <w:szCs w:val="32"/>
          <w:lang w:eastAsia="zh-CN"/>
        </w:rPr>
        <w:t>，新建城区、农民新村要科学规划公共文化设施，市州、</w:t>
      </w:r>
      <w:r>
        <w:rPr>
          <w:rFonts w:hint="eastAsia" w:ascii="仿宋_GB2312" w:hAnsi="仿宋_GB2312" w:eastAsia="仿宋_GB2312" w:cs="仿宋_GB2312"/>
          <w:color w:val="auto"/>
          <w:sz w:val="32"/>
          <w:szCs w:val="32"/>
          <w:lang w:val="en-US" w:eastAsia="zh-CN"/>
        </w:rPr>
        <w:t>县市区达到有公共图书馆、文化馆和博物馆，乡镇（街道）、村（社区）有“综合性文化服务中心”，鼓励有条件的地方建设公共文化综合体，实现城区“十分钟文化圈” ，农村“十里文化圈”。</w:t>
      </w:r>
    </w:p>
    <w:p>
      <w:pPr>
        <w:spacing w:line="500" w:lineRule="exact"/>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（二）加强场馆达标建设。</w:t>
      </w:r>
      <w:r>
        <w:rPr>
          <w:rFonts w:hint="eastAsia" w:ascii="仿宋_GB2312" w:hAnsi="仿宋_GB2312" w:eastAsia="仿宋_GB2312" w:cs="仿宋_GB2312"/>
          <w:color w:val="auto"/>
          <w:sz w:val="32"/>
          <w:szCs w:val="32"/>
        </w:rPr>
        <w:t>采取盘活存量、调整置换、集中利用等方式加强未达标县级公共图书馆、文化馆建设，重点加强少数民族地区、集中连片特困地区、深度贫困地区公共图书馆、文化馆的提档升级。每年支持10个县（市、区）、400个乡镇（街道）、1000个村（社区）提升公共文化服务水平。按照“四个一批”即：新建一批、提升一批、创建一批、升级一批的工作思路，推动实施全省博物馆等级创建提升工程。</w:t>
      </w:r>
    </w:p>
    <w:p>
      <w:pPr>
        <w:spacing w:line="500"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（三）完善服务</w:t>
      </w:r>
      <w:r>
        <w:rPr>
          <w:rFonts w:hint="eastAsia" w:ascii="楷体_GB2312" w:hAnsi="楷体_GB2312" w:eastAsia="楷体_GB2312" w:cs="楷体_GB2312"/>
          <w:color w:val="auto"/>
          <w:sz w:val="32"/>
          <w:szCs w:val="32"/>
          <w:lang w:val="en-US" w:eastAsia="zh-CN"/>
        </w:rPr>
        <w:t>设施网络</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lang w:eastAsia="zh-CN"/>
        </w:rPr>
        <w:t>以省、市、县文化馆、图书馆，基层综合性文化服务中心为主阵地，</w:t>
      </w:r>
      <w:r>
        <w:rPr>
          <w:rFonts w:hint="eastAsia" w:ascii="仿宋_GB2312" w:hAnsi="仿宋_GB2312" w:eastAsia="仿宋_GB2312" w:cs="仿宋_GB2312"/>
          <w:color w:val="auto"/>
          <w:sz w:val="32"/>
          <w:szCs w:val="32"/>
          <w:lang w:val="en-US" w:eastAsia="zh-CN"/>
        </w:rPr>
        <w:t>以</w:t>
      </w:r>
      <w:r>
        <w:rPr>
          <w:rFonts w:hint="eastAsia" w:ascii="仿宋_GB2312" w:hAnsi="仿宋_GB2312" w:eastAsia="仿宋_GB2312" w:cs="仿宋_GB2312"/>
          <w:color w:val="auto"/>
          <w:sz w:val="32"/>
          <w:szCs w:val="32"/>
        </w:rPr>
        <w:t>城市书房、</w:t>
      </w:r>
      <w:r>
        <w:rPr>
          <w:rFonts w:hint="eastAsia" w:ascii="仿宋_GB2312" w:hAnsi="仿宋_GB2312" w:eastAsia="仿宋_GB2312" w:cs="仿宋_GB2312"/>
          <w:color w:val="auto"/>
          <w:sz w:val="32"/>
          <w:szCs w:val="32"/>
          <w:lang w:eastAsia="zh-CN"/>
        </w:rPr>
        <w:t>青工驿站、文化院坝、村史馆等新型阵地为补充</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鼓励在文化街区、旅游景区等人口密集地建立分管和服务点，形成“纵向到底、横向到边”的公共文化</w:t>
      </w:r>
      <w:r>
        <w:rPr>
          <w:rFonts w:hint="eastAsia" w:ascii="仿宋_GB2312" w:hAnsi="仿宋_GB2312" w:eastAsia="仿宋_GB2312" w:cs="仿宋_GB2312"/>
          <w:color w:val="auto"/>
          <w:sz w:val="32"/>
          <w:szCs w:val="32"/>
          <w:lang w:val="en-US" w:eastAsia="zh-CN"/>
        </w:rPr>
        <w:t>设施</w:t>
      </w:r>
      <w:r>
        <w:rPr>
          <w:rFonts w:hint="eastAsia" w:ascii="仿宋_GB2312" w:hAnsi="仿宋_GB2312" w:eastAsia="仿宋_GB2312" w:cs="仿宋_GB2312"/>
          <w:color w:val="auto"/>
          <w:sz w:val="32"/>
          <w:szCs w:val="32"/>
          <w:lang w:eastAsia="zh-CN"/>
        </w:rPr>
        <w:t>服务网络</w:t>
      </w:r>
      <w:r>
        <w:rPr>
          <w:rFonts w:hint="eastAsia" w:ascii="仿宋_GB2312" w:hAnsi="仿宋_GB2312" w:eastAsia="仿宋_GB2312" w:cs="仿宋_GB2312"/>
          <w:color w:val="auto"/>
          <w:sz w:val="32"/>
          <w:szCs w:val="32"/>
        </w:rPr>
        <w:t>。</w:t>
      </w:r>
    </w:p>
    <w:p>
      <w:pPr>
        <w:spacing w:line="5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三、丰富公共文化供给内容</w:t>
      </w:r>
    </w:p>
    <w:p>
      <w:pPr>
        <w:spacing w:line="500"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（四）深化多元供给。</w:t>
      </w:r>
      <w:r>
        <w:rPr>
          <w:rFonts w:hint="eastAsia" w:ascii="仿宋_GB2312" w:hAnsi="仿宋_GB2312" w:eastAsia="仿宋_GB2312" w:cs="仿宋_GB2312"/>
          <w:color w:val="auto"/>
          <w:sz w:val="32"/>
          <w:szCs w:val="32"/>
        </w:rPr>
        <w:t>坚持政府主导、社会参与</w:t>
      </w:r>
      <w:r>
        <w:rPr>
          <w:rFonts w:hint="eastAsia" w:ascii="仿宋_GB2312" w:hAnsi="仿宋_GB2312" w:eastAsia="仿宋_GB2312" w:cs="仿宋_GB2312"/>
          <w:color w:val="auto"/>
          <w:sz w:val="32"/>
          <w:szCs w:val="32"/>
          <w:lang w:val="en-US" w:eastAsia="zh-CN"/>
        </w:rPr>
        <w:t>原则，</w:t>
      </w:r>
      <w:r>
        <w:rPr>
          <w:rFonts w:hint="eastAsia" w:ascii="仿宋_GB2312" w:hAnsi="仿宋_GB2312" w:eastAsia="仿宋_GB2312" w:cs="仿宋_GB2312"/>
          <w:color w:val="auto"/>
          <w:sz w:val="32"/>
          <w:szCs w:val="32"/>
        </w:rPr>
        <w:t>实施政府向社会力量购买公共文化服务示范项目，培育和扶持</w:t>
      </w:r>
      <w:r>
        <w:rPr>
          <w:rFonts w:hint="eastAsia" w:ascii="仿宋_GB2312" w:hAnsi="仿宋_GB2312" w:eastAsia="仿宋_GB2312" w:cs="仿宋_GB2312"/>
          <w:color w:val="auto"/>
          <w:sz w:val="32"/>
          <w:szCs w:val="32"/>
          <w:lang w:eastAsia="zh-CN"/>
        </w:rPr>
        <w:t>民办图书馆、</w:t>
      </w:r>
      <w:r>
        <w:rPr>
          <w:rFonts w:hint="eastAsia" w:ascii="仿宋_GB2312" w:hAnsi="仿宋_GB2312" w:eastAsia="仿宋_GB2312" w:cs="仿宋_GB2312"/>
          <w:color w:val="auto"/>
          <w:sz w:val="32"/>
          <w:szCs w:val="32"/>
        </w:rPr>
        <w:t>非国有博物馆、行业博物馆</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群众文艺团队</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文化非营利组织，引导社会资本投入各类文化创意产品开发。发展壮大文化志愿者队伍，鼓励众筹文化院坝建设、农民理事会等机制建设，支持</w:t>
      </w:r>
      <w:r>
        <w:rPr>
          <w:rFonts w:hint="eastAsia" w:ascii="仿宋_GB2312" w:hAnsi="仿宋_GB2312" w:eastAsia="仿宋_GB2312" w:cs="仿宋_GB2312"/>
          <w:color w:val="auto"/>
          <w:sz w:val="32"/>
          <w:szCs w:val="32"/>
          <w:lang w:eastAsia="zh-CN"/>
        </w:rPr>
        <w:t>新文艺群体、新文艺组织、</w:t>
      </w:r>
      <w:r>
        <w:rPr>
          <w:rFonts w:hint="eastAsia" w:ascii="仿宋_GB2312" w:hAnsi="仿宋_GB2312" w:eastAsia="仿宋_GB2312" w:cs="仿宋_GB2312"/>
          <w:color w:val="auto"/>
          <w:sz w:val="32"/>
          <w:szCs w:val="32"/>
          <w:lang w:val="en-US" w:eastAsia="zh-CN"/>
        </w:rPr>
        <w:t>新文艺业态、新文艺聚落</w:t>
      </w:r>
      <w:r>
        <w:rPr>
          <w:rFonts w:hint="eastAsia" w:ascii="仿宋_GB2312" w:hAnsi="仿宋_GB2312" w:eastAsia="仿宋_GB2312" w:cs="仿宋_GB2312"/>
          <w:color w:val="auto"/>
          <w:sz w:val="32"/>
          <w:szCs w:val="32"/>
        </w:rPr>
        <w:t>，推动公共文化服务社会化发展。</w:t>
      </w:r>
    </w:p>
    <w:p>
      <w:pPr>
        <w:spacing w:line="500" w:lineRule="exact"/>
        <w:ind w:firstLine="640" w:firstLineChars="200"/>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rPr>
        <w:t>（五）丰富供给内容。</w:t>
      </w:r>
      <w:r>
        <w:rPr>
          <w:rFonts w:hint="eastAsia" w:ascii="仿宋_GB2312" w:hAnsi="仿宋_GB2312" w:eastAsia="仿宋_GB2312" w:cs="仿宋_GB2312"/>
          <w:color w:val="auto"/>
          <w:sz w:val="32"/>
          <w:szCs w:val="32"/>
        </w:rPr>
        <w:t>深入挖掘巴蜀文化、红色文化、民族民间文化资源，推动地域特色文化资源向公共文化服务资源转化，充分发挥“民间文化艺术之乡”品牌效益，培育一批四川</w:t>
      </w:r>
      <w:r>
        <w:rPr>
          <w:rFonts w:hint="eastAsia" w:ascii="仿宋_GB2312" w:hAnsi="仿宋_GB2312" w:eastAsia="仿宋_GB2312" w:cs="仿宋_GB2312"/>
          <w:color w:val="auto"/>
          <w:sz w:val="32"/>
          <w:szCs w:val="32"/>
          <w:lang w:val="en-US" w:eastAsia="zh-CN"/>
        </w:rPr>
        <w:t>特色</w:t>
      </w:r>
      <w:r>
        <w:rPr>
          <w:rFonts w:hint="eastAsia" w:ascii="仿宋_GB2312" w:hAnsi="仿宋_GB2312" w:eastAsia="仿宋_GB2312" w:cs="仿宋_GB2312"/>
          <w:color w:val="auto"/>
          <w:sz w:val="32"/>
          <w:szCs w:val="32"/>
        </w:rPr>
        <w:t>公共文化服务品牌，努力形成</w:t>
      </w:r>
      <w:r>
        <w:rPr>
          <w:rFonts w:hint="eastAsia" w:ascii="仿宋_GB2312" w:hAnsi="仿宋_GB2312" w:eastAsia="仿宋_GB2312" w:cs="仿宋_GB2312"/>
          <w:color w:val="auto"/>
          <w:sz w:val="32"/>
          <w:szCs w:val="32"/>
          <w:lang w:eastAsia="zh-CN"/>
        </w:rPr>
        <w:t>“一馆一特色”</w:t>
      </w:r>
      <w:r>
        <w:rPr>
          <w:rFonts w:hint="eastAsia" w:ascii="Times New Roman" w:hAnsi="Times New Roman" w:eastAsia="仿宋_GB2312" w:cs="Times New Roman"/>
          <w:color w:val="auto"/>
          <w:sz w:val="32"/>
          <w:szCs w:val="32"/>
          <w:shd w:val="clear" w:color="auto" w:fill="FFFFFF"/>
        </w:rPr>
        <w:t>“一</w:t>
      </w:r>
      <w:r>
        <w:rPr>
          <w:rFonts w:hint="eastAsia" w:ascii="Times New Roman" w:hAnsi="Times New Roman" w:eastAsia="仿宋_GB2312" w:cs="Times New Roman"/>
          <w:color w:val="auto"/>
          <w:sz w:val="32"/>
          <w:szCs w:val="32"/>
          <w:shd w:val="clear" w:color="auto" w:fill="FFFFFF"/>
          <w:lang w:eastAsia="zh-CN"/>
        </w:rPr>
        <w:t>市</w:t>
      </w:r>
      <w:r>
        <w:rPr>
          <w:rFonts w:hint="eastAsia" w:ascii="Times New Roman" w:hAnsi="Times New Roman" w:eastAsia="仿宋_GB2312" w:cs="Times New Roman"/>
          <w:color w:val="auto"/>
          <w:sz w:val="32"/>
          <w:szCs w:val="32"/>
          <w:shd w:val="clear" w:color="auto" w:fill="FFFFFF"/>
        </w:rPr>
        <w:t>一节</w:t>
      </w:r>
      <w:r>
        <w:rPr>
          <w:rFonts w:hint="eastAsia" w:ascii="Times New Roman" w:hAnsi="Times New Roman" w:eastAsia="仿宋_GB2312" w:cs="Times New Roman"/>
          <w:color w:val="auto"/>
          <w:sz w:val="32"/>
          <w:szCs w:val="32"/>
          <w:shd w:val="clear" w:color="auto" w:fill="FFFFFF"/>
          <w:lang w:eastAsia="zh-CN"/>
        </w:rPr>
        <w:t>庆</w:t>
      </w:r>
      <w:r>
        <w:rPr>
          <w:rFonts w:hint="eastAsia"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eastAsia="zh-CN"/>
        </w:rPr>
        <w:t>“一县一活动”</w:t>
      </w:r>
      <w:r>
        <w:rPr>
          <w:rFonts w:hint="eastAsia" w:ascii="Times New Roman" w:hAnsi="Times New Roman" w:eastAsia="仿宋_GB2312" w:cs="Times New Roman"/>
          <w:color w:val="auto"/>
          <w:sz w:val="32"/>
          <w:szCs w:val="32"/>
          <w:shd w:val="clear" w:color="auto" w:fill="FFFFFF"/>
        </w:rPr>
        <w:t>“一乡一</w:t>
      </w:r>
      <w:r>
        <w:rPr>
          <w:rFonts w:hint="eastAsia" w:ascii="Times New Roman" w:hAnsi="Times New Roman" w:eastAsia="仿宋_GB2312" w:cs="Times New Roman"/>
          <w:color w:val="auto"/>
          <w:sz w:val="32"/>
          <w:szCs w:val="32"/>
          <w:shd w:val="clear" w:color="auto" w:fill="FFFFFF"/>
          <w:lang w:eastAsia="zh-CN"/>
        </w:rPr>
        <w:t>品牌</w:t>
      </w:r>
      <w:r>
        <w:rPr>
          <w:rFonts w:hint="eastAsia" w:ascii="Times New Roman" w:hAnsi="Times New Roman" w:eastAsia="仿宋_GB2312" w:cs="Times New Roman"/>
          <w:color w:val="auto"/>
          <w:sz w:val="32"/>
          <w:szCs w:val="32"/>
          <w:shd w:val="clear" w:color="auto" w:fill="FFFFFF"/>
        </w:rPr>
        <w:t>”“一村一队</w:t>
      </w:r>
      <w:r>
        <w:rPr>
          <w:rFonts w:hint="eastAsia" w:ascii="Times New Roman" w:hAnsi="Times New Roman" w:eastAsia="仿宋_GB2312" w:cs="Times New Roman"/>
          <w:color w:val="auto"/>
          <w:sz w:val="32"/>
          <w:szCs w:val="32"/>
          <w:shd w:val="clear" w:color="auto" w:fill="FFFFFF"/>
          <w:lang w:eastAsia="zh-CN"/>
        </w:rPr>
        <w:t>伍</w:t>
      </w:r>
      <w:r>
        <w:rPr>
          <w:rFonts w:hint="eastAsia" w:ascii="Times New Roman" w:hAnsi="Times New Roman" w:eastAsia="仿宋_GB2312" w:cs="Times New Roman"/>
          <w:color w:val="auto"/>
          <w:sz w:val="32"/>
          <w:szCs w:val="32"/>
          <w:shd w:val="clear" w:color="auto" w:fill="FFFFFF"/>
        </w:rPr>
        <w:t>”格局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全省推出</w:t>
      </w:r>
      <w:r>
        <w:rPr>
          <w:rFonts w:hint="eastAsia" w:ascii="仿宋_GB2312" w:hAnsi="仿宋_GB2312" w:eastAsia="仿宋_GB2312" w:cs="仿宋_GB2312"/>
          <w:color w:val="auto"/>
          <w:sz w:val="32"/>
          <w:szCs w:val="32"/>
          <w:lang w:val="en-US" w:eastAsia="zh-CN"/>
        </w:rPr>
        <w:t>品牌活动50场、大型讲座100场、</w:t>
      </w:r>
      <w:r>
        <w:rPr>
          <w:rFonts w:hint="eastAsia" w:ascii="仿宋_GB2312" w:hAnsi="仿宋_GB2312" w:eastAsia="仿宋_GB2312" w:cs="仿宋_GB2312"/>
          <w:color w:val="auto"/>
          <w:sz w:val="32"/>
          <w:szCs w:val="32"/>
          <w:lang w:eastAsia="zh-CN"/>
        </w:rPr>
        <w:t>专题展览</w:t>
      </w:r>
      <w:r>
        <w:rPr>
          <w:rFonts w:hint="eastAsia" w:ascii="仿宋_GB2312" w:hAnsi="仿宋_GB2312" w:eastAsia="仿宋_GB2312" w:cs="仿宋_GB2312"/>
          <w:color w:val="auto"/>
          <w:sz w:val="32"/>
          <w:szCs w:val="32"/>
        </w:rPr>
        <w:t>200个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文化下乡3000场、文创产品10000件。</w:t>
      </w:r>
    </w:p>
    <w:p>
      <w:pPr>
        <w:spacing w:line="500"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（六）开展重大群众文化活动。</w:t>
      </w:r>
      <w:r>
        <w:rPr>
          <w:rFonts w:hint="eastAsia" w:ascii="仿宋_GB2312" w:hAnsi="仿宋_GB2312" w:eastAsia="仿宋_GB2312" w:cs="仿宋_GB2312"/>
          <w:color w:val="auto"/>
          <w:sz w:val="32"/>
          <w:szCs w:val="32"/>
        </w:rPr>
        <w:t>以全国“群星奖”、四川“群星奖”</w:t>
      </w:r>
      <w:r>
        <w:rPr>
          <w:rFonts w:hint="eastAsia" w:ascii="仿宋_GB2312" w:hAnsi="仿宋_GB2312" w:eastAsia="仿宋_GB2312" w:cs="仿宋_GB2312"/>
          <w:color w:val="auto"/>
          <w:sz w:val="32"/>
          <w:szCs w:val="32"/>
          <w:lang w:eastAsia="zh-CN"/>
        </w:rPr>
        <w:t>“最美图书馆”“十大陈列展览”</w:t>
      </w:r>
      <w:r>
        <w:rPr>
          <w:rFonts w:hint="eastAsia" w:ascii="仿宋_GB2312" w:hAnsi="仿宋_GB2312" w:eastAsia="仿宋_GB2312" w:cs="仿宋_GB2312"/>
          <w:color w:val="auto"/>
          <w:sz w:val="32"/>
          <w:szCs w:val="32"/>
        </w:rPr>
        <w:t>为抓手，</w:t>
      </w:r>
      <w:r>
        <w:rPr>
          <w:rFonts w:hint="eastAsia" w:ascii="仿宋_GB2312" w:hAnsi="仿宋_GB2312" w:eastAsia="仿宋_GB2312" w:cs="仿宋_GB2312"/>
          <w:color w:val="auto"/>
          <w:sz w:val="32"/>
          <w:szCs w:val="32"/>
          <w:lang w:eastAsia="zh-CN"/>
        </w:rPr>
        <w:t>办好</w:t>
      </w:r>
      <w:r>
        <w:rPr>
          <w:rFonts w:hint="eastAsia" w:ascii="仿宋_GB2312" w:hAnsi="仿宋_GB2312" w:eastAsia="仿宋_GB2312" w:cs="仿宋_GB2312"/>
          <w:color w:val="auto"/>
          <w:sz w:val="32"/>
          <w:szCs w:val="32"/>
        </w:rPr>
        <w:t>四川乡村艺术节、少数民族艺术节等重大节庆文化活动</w:t>
      </w:r>
      <w:r>
        <w:rPr>
          <w:rFonts w:hint="eastAsia" w:ascii="仿宋_GB2312" w:hAnsi="仿宋_GB2312" w:eastAsia="仿宋_GB2312" w:cs="仿宋_GB2312"/>
          <w:color w:val="auto"/>
          <w:sz w:val="32"/>
          <w:szCs w:val="32"/>
          <w:lang w:eastAsia="zh-CN"/>
        </w:rPr>
        <w:t>及“国际博物馆日”活动；</w:t>
      </w:r>
      <w:r>
        <w:rPr>
          <w:rFonts w:hint="eastAsia" w:ascii="仿宋_GB2312" w:hAnsi="仿宋_GB2312" w:eastAsia="仿宋_GB2312" w:cs="仿宋_GB2312"/>
          <w:color w:val="auto"/>
          <w:sz w:val="32"/>
          <w:szCs w:val="32"/>
        </w:rPr>
        <w:t>开展群众广场舞</w:t>
      </w:r>
      <w:r>
        <w:rPr>
          <w:rFonts w:hint="eastAsia" w:ascii="仿宋_GB2312" w:hAnsi="仿宋_GB2312" w:eastAsia="仿宋_GB2312" w:cs="仿宋_GB2312"/>
          <w:color w:val="auto"/>
          <w:sz w:val="32"/>
          <w:szCs w:val="32"/>
          <w:lang w:val="en-US" w:eastAsia="zh-CN"/>
        </w:rPr>
        <w:t>展演</w:t>
      </w:r>
      <w:r>
        <w:rPr>
          <w:rFonts w:hint="eastAsia" w:ascii="仿宋_GB2312" w:hAnsi="仿宋_GB2312" w:eastAsia="仿宋_GB2312" w:cs="仿宋_GB2312"/>
          <w:color w:val="auto"/>
          <w:sz w:val="32"/>
          <w:szCs w:val="32"/>
        </w:rPr>
        <w:t>、</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百舟竞渡迎端午</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千龙千狮闹新春</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万人赏月诵中秋</w:t>
      </w:r>
      <w:r>
        <w:rPr>
          <w:rFonts w:hint="eastAsia" w:ascii="Times New Roman" w:hAnsi="Times New Roman" w:eastAsia="仿宋_GB2312" w:cs="Times New Roman"/>
          <w:color w:val="auto"/>
          <w:sz w:val="32"/>
          <w:szCs w:val="32"/>
          <w:lang w:val="en-US" w:eastAsia="zh-CN"/>
        </w:rPr>
        <w:t>”</w:t>
      </w:r>
      <w:r>
        <w:rPr>
          <w:rFonts w:hint="eastAsia" w:ascii="仿宋_GB2312" w:hAnsi="仿宋_GB2312" w:eastAsia="仿宋_GB2312" w:cs="仿宋_GB2312"/>
          <w:color w:val="auto"/>
          <w:sz w:val="32"/>
          <w:szCs w:val="32"/>
          <w:lang w:eastAsia="zh-CN"/>
        </w:rPr>
        <w:t>传统节日</w:t>
      </w:r>
      <w:r>
        <w:rPr>
          <w:rFonts w:hint="eastAsia" w:ascii="仿宋_GB2312" w:hAnsi="仿宋_GB2312" w:eastAsia="仿宋_GB2312" w:cs="仿宋_GB2312"/>
          <w:color w:val="auto"/>
          <w:sz w:val="32"/>
          <w:szCs w:val="32"/>
        </w:rPr>
        <w:t>重大群众文化活动，实施“书香四川·悦读四季”全民阅读推广工程，充分发挥品牌活动的示范引领作用，带动全省群众文化活动蓬勃开展，不断丰富群众精神文化生活。</w:t>
      </w:r>
    </w:p>
    <w:p>
      <w:pPr>
        <w:spacing w:line="500"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（七）保障特殊群体权益。</w:t>
      </w:r>
      <w:r>
        <w:rPr>
          <w:rFonts w:hint="eastAsia" w:ascii="仿宋_GB2312" w:hAnsi="仿宋_GB2312" w:eastAsia="仿宋_GB2312" w:cs="仿宋_GB2312"/>
          <w:color w:val="auto"/>
          <w:sz w:val="32"/>
          <w:szCs w:val="32"/>
        </w:rPr>
        <w:t>实施文化保障工程，将老年人、未成年人、残疾人、农民工、农村留守妇女儿童、生活困难群众作为公共文化服务的重点对象，保障其享有基本公共文化服务。打造“非常梦想——四川省农民工原创文艺作品大赛”等活动，依托广播“户户通、村村响”工程开展“川阅之声”有声阅读活动，</w:t>
      </w:r>
      <w:r>
        <w:rPr>
          <w:rFonts w:hint="eastAsia" w:ascii="仿宋_GB2312" w:hAnsi="仿宋_GB2312" w:eastAsia="仿宋_GB2312" w:cs="仿宋_GB2312"/>
          <w:color w:val="auto"/>
          <w:sz w:val="32"/>
          <w:szCs w:val="32"/>
          <w:lang w:eastAsia="zh-CN"/>
        </w:rPr>
        <w:t>确保农村群众每人每天“读书”</w:t>
      </w:r>
      <w:r>
        <w:rPr>
          <w:rFonts w:hint="eastAsia" w:ascii="仿宋_GB2312" w:hAnsi="仿宋_GB2312" w:eastAsia="仿宋_GB2312" w:cs="仿宋_GB2312"/>
          <w:color w:val="auto"/>
          <w:sz w:val="32"/>
          <w:szCs w:val="32"/>
          <w:lang w:val="en-US" w:eastAsia="zh-CN"/>
        </w:rPr>
        <w:t>1小时。加快盲人图书室建设，全省市（州）图书馆盲人阅览室全覆盖；深化</w:t>
      </w:r>
      <w:r>
        <w:rPr>
          <w:rFonts w:hint="eastAsia" w:ascii="仿宋_GB2312" w:hAnsi="仿宋_GB2312" w:eastAsia="仿宋_GB2312" w:cs="仿宋_GB2312"/>
          <w:color w:val="auto"/>
          <w:sz w:val="32"/>
          <w:szCs w:val="32"/>
          <w:lang w:eastAsia="zh-CN"/>
        </w:rPr>
        <w:t>博物馆青少年教育活动，全年开展博物馆青少年教育活动</w:t>
      </w:r>
      <w:r>
        <w:rPr>
          <w:rFonts w:hint="eastAsia" w:ascii="仿宋_GB2312" w:hAnsi="仿宋_GB2312" w:eastAsia="仿宋_GB2312" w:cs="仿宋_GB2312"/>
          <w:color w:val="auto"/>
          <w:sz w:val="32"/>
          <w:szCs w:val="32"/>
          <w:lang w:val="en-US" w:eastAsia="zh-CN"/>
        </w:rPr>
        <w:t>10000场。</w:t>
      </w:r>
    </w:p>
    <w:p>
      <w:pPr>
        <w:spacing w:line="5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四、优化公共文化服务方式</w:t>
      </w:r>
    </w:p>
    <w:p>
      <w:pPr>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rPr>
        <w:t>（八）完善供需对接机制。</w:t>
      </w:r>
      <w:r>
        <w:rPr>
          <w:rFonts w:hint="eastAsia" w:ascii="仿宋_GB2312" w:hAnsi="仿宋_GB2312" w:eastAsia="仿宋_GB2312" w:cs="仿宋_GB2312"/>
          <w:color w:val="auto"/>
          <w:sz w:val="32"/>
          <w:szCs w:val="32"/>
          <w:lang w:eastAsia="zh-CN"/>
        </w:rPr>
        <w:t>国家三级以上县级</w:t>
      </w:r>
      <w:r>
        <w:rPr>
          <w:rFonts w:hint="eastAsia" w:ascii="仿宋_GB2312" w:hAnsi="仿宋_GB2312" w:eastAsia="仿宋_GB2312" w:cs="仿宋_GB2312"/>
          <w:color w:val="auto"/>
          <w:sz w:val="32"/>
          <w:szCs w:val="32"/>
        </w:rPr>
        <w:t>图书馆、文化馆、博物馆结合公众需求和自身实际开展错峰延时服务。</w:t>
      </w:r>
      <w:r>
        <w:rPr>
          <w:rFonts w:hint="eastAsia" w:ascii="仿宋_GB2312" w:hAnsi="仿宋_GB2312" w:eastAsia="仿宋_GB2312" w:cs="仿宋_GB2312"/>
          <w:color w:val="auto"/>
          <w:sz w:val="32"/>
          <w:szCs w:val="32"/>
          <w:lang w:val="en-US" w:eastAsia="zh-CN"/>
        </w:rPr>
        <w:t>乡村综合文化服务中心要结合农时开展象错时服务；</w:t>
      </w:r>
      <w:r>
        <w:rPr>
          <w:rFonts w:hint="eastAsia" w:ascii="仿宋_GB2312" w:hAnsi="仿宋_GB2312" w:eastAsia="仿宋_GB2312" w:cs="仿宋_GB2312"/>
          <w:color w:val="auto"/>
          <w:sz w:val="32"/>
          <w:szCs w:val="32"/>
        </w:rPr>
        <w:t>完善服务质量监测体系，制定公众满意度指标，建立健全群众需求征询、评价反馈机制，通过建立数字化平台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开通服务热线，及时反馈服务的效果，开展“菜单式”“订单式”服务。</w:t>
      </w:r>
      <w:r>
        <w:rPr>
          <w:rFonts w:hint="eastAsia" w:ascii="仿宋_GB2312" w:hAnsi="仿宋_GB2312" w:eastAsia="仿宋_GB2312" w:cs="仿宋_GB2312"/>
          <w:color w:val="auto"/>
          <w:sz w:val="32"/>
          <w:szCs w:val="32"/>
          <w:lang w:val="en-US" w:eastAsia="zh-CN"/>
        </w:rPr>
        <w:t>到2022年，全部公开服务项目群众满意度。</w:t>
      </w:r>
    </w:p>
    <w:p>
      <w:pPr>
        <w:spacing w:line="500" w:lineRule="exact"/>
        <w:ind w:firstLine="640" w:firstLineChars="200"/>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rPr>
        <w:t>（九）提升数字化水平。</w:t>
      </w:r>
      <w:r>
        <w:rPr>
          <w:rFonts w:hint="eastAsia" w:ascii="仿宋_GB2312" w:hAnsi="仿宋_GB2312" w:eastAsia="仿宋_GB2312" w:cs="仿宋_GB2312"/>
          <w:color w:val="auto"/>
          <w:sz w:val="32"/>
          <w:szCs w:val="32"/>
          <w:lang w:val="en-US" w:eastAsia="zh-CN"/>
        </w:rPr>
        <w:t>融入</w:t>
      </w:r>
      <w:r>
        <w:rPr>
          <w:rFonts w:hint="eastAsia" w:ascii="仿宋_GB2312" w:hAnsi="仿宋_GB2312" w:eastAsia="仿宋_GB2312" w:cs="仿宋_GB2312"/>
          <w:color w:val="auto"/>
          <w:sz w:val="32"/>
          <w:szCs w:val="32"/>
        </w:rPr>
        <w:t>“智游天府”文化旅游公共服务平台建设，搭建面向公众提供一站式服务的开放性平台。</w:t>
      </w:r>
      <w:r>
        <w:rPr>
          <w:rFonts w:hint="eastAsia" w:ascii="仿宋_GB2312" w:hAnsi="仿宋_GB2312" w:eastAsia="仿宋_GB2312" w:cs="仿宋_GB2312"/>
          <w:color w:val="auto"/>
          <w:sz w:val="32"/>
          <w:szCs w:val="32"/>
          <w:lang w:eastAsia="zh-CN"/>
        </w:rPr>
        <w:t>加快公共图书馆、文化馆数字化建设，</w:t>
      </w:r>
      <w:r>
        <w:rPr>
          <w:rFonts w:hint="eastAsia" w:ascii="仿宋_GB2312" w:hAnsi="仿宋_GB2312" w:eastAsia="仿宋_GB2312" w:cs="仿宋_GB2312"/>
          <w:color w:val="auto"/>
          <w:sz w:val="32"/>
          <w:szCs w:val="32"/>
        </w:rPr>
        <w:t>推进智慧博物馆建设，实施“互联网＋全民艺术普及”“互联网＋全民阅读”“互联网+中华文明”工程</w:t>
      </w:r>
      <w:r>
        <w:rPr>
          <w:rFonts w:hint="eastAsia" w:ascii="仿宋_GB2312" w:hAnsi="仿宋_GB2312" w:eastAsia="仿宋_GB2312" w:cs="仿宋_GB2312"/>
          <w:color w:val="auto"/>
          <w:sz w:val="32"/>
          <w:szCs w:val="32"/>
          <w:lang w:eastAsia="zh-CN"/>
        </w:rPr>
        <w:t>。到</w:t>
      </w:r>
      <w:r>
        <w:rPr>
          <w:rFonts w:hint="eastAsia" w:ascii="仿宋_GB2312" w:hAnsi="仿宋_GB2312" w:eastAsia="仿宋_GB2312" w:cs="仿宋_GB2312"/>
          <w:color w:val="auto"/>
          <w:sz w:val="32"/>
          <w:szCs w:val="32"/>
          <w:lang w:val="en-US" w:eastAsia="zh-CN"/>
        </w:rPr>
        <w:t>2022年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县级以</w:t>
      </w:r>
      <w:r>
        <w:rPr>
          <w:rFonts w:hint="eastAsia" w:ascii="仿宋_GB2312" w:hAnsi="仿宋_GB2312" w:eastAsia="仿宋_GB2312" w:cs="仿宋_GB2312"/>
          <w:color w:val="auto"/>
          <w:sz w:val="32"/>
          <w:szCs w:val="32"/>
          <w:lang w:eastAsia="zh-CN"/>
        </w:rPr>
        <w:t>上图书馆</w:t>
      </w:r>
      <w:r>
        <w:rPr>
          <w:rFonts w:hint="eastAsia" w:ascii="仿宋_GB2312" w:hAnsi="仿宋_GB2312" w:eastAsia="仿宋_GB2312" w:cs="仿宋_GB2312"/>
          <w:color w:val="auto"/>
          <w:sz w:val="32"/>
          <w:szCs w:val="32"/>
          <w:lang w:val="en-US" w:eastAsia="zh-CN"/>
        </w:rPr>
        <w:t>100%接入国家数字图书馆推广工程网络，</w:t>
      </w:r>
      <w:r>
        <w:rPr>
          <w:rFonts w:hint="eastAsia" w:ascii="仿宋_GB2312" w:hAnsi="仿宋_GB2312" w:eastAsia="仿宋_GB2312" w:cs="仿宋_GB2312"/>
          <w:color w:val="auto"/>
          <w:sz w:val="32"/>
          <w:szCs w:val="32"/>
          <w:lang w:eastAsia="zh-CN"/>
        </w:rPr>
        <w:t>文化馆</w:t>
      </w:r>
      <w:r>
        <w:rPr>
          <w:rFonts w:hint="eastAsia" w:ascii="仿宋_GB2312" w:hAnsi="仿宋_GB2312" w:eastAsia="仿宋_GB2312" w:cs="仿宋_GB2312"/>
          <w:color w:val="auto"/>
          <w:sz w:val="32"/>
          <w:szCs w:val="32"/>
        </w:rPr>
        <w:t>全面实现服务数字化</w:t>
      </w:r>
      <w:r>
        <w:rPr>
          <w:rFonts w:hint="eastAsia" w:ascii="仿宋_GB2312" w:hAnsi="仿宋_GB2312" w:eastAsia="仿宋_GB2312" w:cs="仿宋_GB2312"/>
          <w:color w:val="auto"/>
          <w:sz w:val="32"/>
          <w:szCs w:val="32"/>
          <w:lang w:eastAsia="zh-CN"/>
        </w:rPr>
        <w:t>。</w:t>
      </w:r>
    </w:p>
    <w:p>
      <w:pPr>
        <w:spacing w:line="500" w:lineRule="exact"/>
        <w:ind w:firstLine="640" w:firstLineChars="200"/>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rPr>
        <w:t>（十）加强流动服务。</w:t>
      </w:r>
      <w:r>
        <w:rPr>
          <w:rFonts w:hint="eastAsia" w:ascii="仿宋_GB2312" w:hAnsi="仿宋_GB2312" w:eastAsia="仿宋_GB2312" w:cs="仿宋_GB2312"/>
          <w:color w:val="auto"/>
          <w:sz w:val="32"/>
          <w:szCs w:val="32"/>
          <w:lang w:val="en-US" w:eastAsia="zh-CN"/>
        </w:rPr>
        <w:t>充公</w:t>
      </w:r>
      <w:r>
        <w:rPr>
          <w:rFonts w:hint="eastAsia" w:ascii="仿宋_GB2312" w:hAnsi="仿宋_GB2312" w:eastAsia="仿宋_GB2312" w:cs="仿宋_GB2312"/>
          <w:color w:val="auto"/>
          <w:sz w:val="32"/>
          <w:szCs w:val="32"/>
        </w:rPr>
        <w:t>利用流动博物馆、流动文化车、流动舞台车</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流动图书车，开展“结对子、种文化”活动，鼓励演出走出剧院、图书走出书屋、展览办到村头，让基层的艺术进城来、城里的精品下乡去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创新打造群众喜闻乐见的流动载体，提升公共文化流动服务水平。</w:t>
      </w:r>
      <w:r>
        <w:rPr>
          <w:rFonts w:hint="eastAsia" w:ascii="仿宋_GB2312" w:hAnsi="仿宋_GB2312" w:eastAsia="仿宋_GB2312" w:cs="仿宋_GB2312"/>
          <w:color w:val="auto"/>
          <w:sz w:val="32"/>
          <w:szCs w:val="32"/>
          <w:lang w:val="en-US" w:eastAsia="zh-CN"/>
        </w:rPr>
        <w:t>到2022年，每年开展文化流动服务不少于10000场次。</w:t>
      </w:r>
    </w:p>
    <w:p>
      <w:pPr>
        <w:spacing w:line="500" w:lineRule="exact"/>
        <w:ind w:firstLine="640" w:firstLineChars="200"/>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rPr>
        <w:t>（十一）创新示范引领。</w:t>
      </w:r>
      <w:r>
        <w:rPr>
          <w:rFonts w:hint="eastAsia" w:ascii="仿宋_GB2312" w:hAnsi="仿宋_GB2312" w:eastAsia="仿宋_GB2312" w:cs="仿宋_GB2312"/>
          <w:color w:val="auto"/>
          <w:sz w:val="32"/>
          <w:szCs w:val="32"/>
          <w:lang w:val="en-US" w:eastAsia="zh-CN"/>
        </w:rPr>
        <w:t>深化国家公共文化服务体系示范区（项目）创建，持续</w:t>
      </w:r>
      <w:r>
        <w:rPr>
          <w:rFonts w:hint="eastAsia" w:ascii="仿宋_GB2312" w:hAnsi="仿宋_GB2312" w:eastAsia="仿宋_GB2312" w:cs="仿宋_GB2312"/>
          <w:color w:val="auto"/>
          <w:sz w:val="32"/>
          <w:szCs w:val="32"/>
        </w:rPr>
        <w:t>开展省级现代公共文化服务体系示范县、示范乡镇创建、县级文化馆图书馆博物馆总分馆制试点、文旅融合示范项目等试点示范项目，激发基层自主创新活力，总结推广一批公共文化服务领域新模式、新机制，加大宣传推广力度，强化典型引领作用，影响和带动全省现代公共文化服务体系建设。</w:t>
      </w:r>
      <w:r>
        <w:rPr>
          <w:rFonts w:hint="eastAsia" w:ascii="仿宋_GB2312" w:hAnsi="仿宋_GB2312" w:eastAsia="仿宋_GB2312" w:cs="仿宋_GB2312"/>
          <w:color w:val="auto"/>
          <w:sz w:val="32"/>
          <w:szCs w:val="32"/>
          <w:lang w:val="en-US" w:eastAsia="zh-CN"/>
        </w:rPr>
        <w:t>到2022年，创建国家级示范区4个、示范项目8个、省级示范县21个、图书馆文化馆总分馆建设试点县21个。</w:t>
      </w:r>
    </w:p>
    <w:p>
      <w:pPr>
        <w:spacing w:line="500" w:lineRule="exact"/>
        <w:ind w:firstLine="640" w:firstLineChars="200"/>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rPr>
        <w:t>（十二）推进文旅融合。</w:t>
      </w:r>
      <w:r>
        <w:rPr>
          <w:rFonts w:hint="eastAsia" w:ascii="仿宋_GB2312" w:hAnsi="仿宋_GB2312" w:eastAsia="仿宋_GB2312" w:cs="仿宋_GB2312"/>
          <w:color w:val="auto"/>
          <w:sz w:val="32"/>
          <w:szCs w:val="32"/>
        </w:rPr>
        <w:t>积极盘活文化和旅游公共服务资源，开展总分馆制建设进景区试点，在游客聚集区开展丰富的特色群众文化活动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；加快推进旅游公共服务设施建设，在旅游公共服务设施修建、改造中增加文化内涵，彰显地方特色，构建主客共享的文化和旅游新空间。</w:t>
      </w:r>
      <w:r>
        <w:rPr>
          <w:rFonts w:hint="eastAsia" w:ascii="仿宋_GB2312" w:hAnsi="仿宋_GB2312" w:eastAsia="仿宋_GB2312" w:cs="仿宋_GB2312"/>
          <w:color w:val="auto"/>
          <w:sz w:val="32"/>
          <w:szCs w:val="32"/>
          <w:lang w:val="en-US" w:eastAsia="zh-CN"/>
        </w:rPr>
        <w:t>试点推动“越</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读～景区”文旅公共服务融合发展工程，到2022年，在全省5A级以上景区景点，各建立1个“越</w:t>
      </w:r>
      <w:r>
        <w:rPr>
          <w:rFonts w:hint="eastAsia" w:ascii="黑体" w:hAnsi="黑体" w:eastAsia="黑体" w:cs="黑体"/>
          <w:color w:val="auto"/>
          <w:sz w:val="32"/>
          <w:szCs w:val="32"/>
          <w:lang w:val="en-US" w:eastAsia="zh-CN"/>
        </w:rPr>
        <w:t>·</w:t>
      </w:r>
      <w:r>
        <w:rPr>
          <w:rFonts w:hint="eastAsia" w:ascii="仿宋_GB2312" w:hAnsi="仿宋_GB2312" w:eastAsia="仿宋_GB2312" w:cs="仿宋_GB2312"/>
          <w:color w:val="auto"/>
          <w:sz w:val="32"/>
          <w:szCs w:val="32"/>
          <w:lang w:val="en-US" w:eastAsia="zh-CN"/>
        </w:rPr>
        <w:t>读～景区”空间，推动文化旅游公共服务融合发展。</w:t>
      </w:r>
    </w:p>
    <w:p>
      <w:pPr>
        <w:spacing w:line="500" w:lineRule="exact"/>
        <w:ind w:firstLine="640" w:firstLineChars="20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t>五、</w:t>
      </w:r>
      <w:r>
        <w:rPr>
          <w:rFonts w:hint="eastAsia" w:ascii="黑体" w:hAnsi="黑体" w:eastAsia="黑体" w:cs="黑体"/>
          <w:color w:val="auto"/>
          <w:sz w:val="32"/>
          <w:szCs w:val="32"/>
          <w:lang w:eastAsia="zh-CN"/>
        </w:rPr>
        <w:t>创新公共文化服务管理</w:t>
      </w:r>
    </w:p>
    <w:p>
      <w:pPr>
        <w:spacing w:line="500"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（十三）制定公共文化服务标准。</w:t>
      </w:r>
      <w:r>
        <w:rPr>
          <w:rFonts w:hint="eastAsia" w:ascii="楷体_GB2312" w:hAnsi="楷体_GB2312" w:eastAsia="楷体_GB2312" w:cs="楷体_GB2312"/>
          <w:color w:val="auto"/>
          <w:sz w:val="32"/>
          <w:szCs w:val="32"/>
          <w:lang w:val="en-US" w:eastAsia="zh-CN"/>
        </w:rPr>
        <w:t>参照</w:t>
      </w:r>
      <w:r>
        <w:rPr>
          <w:rFonts w:ascii="仿宋_GB2312" w:hAnsi="仿宋_GB2312" w:eastAsia="仿宋_GB2312" w:cs="仿宋_GB2312"/>
          <w:color w:val="auto"/>
          <w:sz w:val="32"/>
          <w:szCs w:val="32"/>
          <w:lang w:val="zh-CN"/>
        </w:rPr>
        <w:t>《国家基本公共文化服务指导标准（20</w:t>
      </w:r>
      <w:r>
        <w:rPr>
          <w:rFonts w:hint="eastAsia" w:ascii="仿宋_GB2312" w:hAnsi="仿宋_GB2312" w:eastAsia="仿宋_GB2312" w:cs="仿宋_GB2312"/>
          <w:color w:val="auto"/>
          <w:sz w:val="32"/>
          <w:szCs w:val="32"/>
          <w:lang w:val="en-US" w:eastAsia="zh-CN"/>
        </w:rPr>
        <w:t>21</w:t>
      </w:r>
      <w:r>
        <w:rPr>
          <w:rFonts w:ascii="仿宋_GB2312" w:hAnsi="仿宋_GB2312" w:eastAsia="仿宋_GB2312" w:cs="仿宋_GB2312"/>
          <w:color w:val="auto"/>
          <w:sz w:val="32"/>
          <w:szCs w:val="32"/>
          <w:lang w:val="zh-CN"/>
        </w:rPr>
        <w:t>─202</w:t>
      </w:r>
      <w:r>
        <w:rPr>
          <w:rFonts w:hint="eastAsia" w:ascii="仿宋_GB2312" w:hAnsi="仿宋_GB2312" w:eastAsia="仿宋_GB2312" w:cs="仿宋_GB2312"/>
          <w:color w:val="auto"/>
          <w:sz w:val="32"/>
          <w:szCs w:val="32"/>
          <w:lang w:val="en-US" w:eastAsia="zh-CN"/>
        </w:rPr>
        <w:t>5</w:t>
      </w:r>
      <w:r>
        <w:rPr>
          <w:rFonts w:ascii="仿宋_GB2312" w:hAnsi="仿宋_GB2312" w:eastAsia="仿宋_GB2312" w:cs="仿宋_GB2312"/>
          <w:color w:val="auto"/>
          <w:sz w:val="32"/>
          <w:szCs w:val="32"/>
          <w:lang w:val="zh-CN"/>
        </w:rPr>
        <w:t>年）》</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rPr>
        <w:t>围绕看电视、听广播、读书看报、参加公共文化活动等群众基本文化权益，</w:t>
      </w:r>
      <w:r>
        <w:rPr>
          <w:rFonts w:hint="eastAsia" w:ascii="仿宋_GB2312" w:hAnsi="仿宋_GB2312" w:eastAsia="仿宋_GB2312" w:cs="仿宋_GB2312"/>
          <w:color w:val="auto"/>
          <w:sz w:val="32"/>
          <w:szCs w:val="32"/>
          <w:lang w:val="en-US" w:eastAsia="zh-CN"/>
        </w:rPr>
        <w:t>制定</w:t>
      </w:r>
      <w:r>
        <w:rPr>
          <w:rFonts w:ascii="仿宋_GB2312" w:hAnsi="仿宋_GB2312" w:eastAsia="仿宋_GB2312" w:cs="仿宋_GB2312"/>
          <w:color w:val="auto"/>
          <w:sz w:val="32"/>
          <w:szCs w:val="32"/>
          <w:lang w:val="zh-CN"/>
        </w:rPr>
        <w:t>《四川省基本公共文化服务保障标准（20</w:t>
      </w:r>
      <w:r>
        <w:rPr>
          <w:rFonts w:hint="eastAsia" w:ascii="仿宋_GB2312" w:hAnsi="仿宋_GB2312" w:eastAsia="仿宋_GB2312" w:cs="仿宋_GB2312"/>
          <w:color w:val="auto"/>
          <w:sz w:val="32"/>
          <w:szCs w:val="32"/>
          <w:lang w:val="en-US" w:eastAsia="zh-CN"/>
        </w:rPr>
        <w:t>21</w:t>
      </w:r>
      <w:r>
        <w:rPr>
          <w:rFonts w:ascii="仿宋_GB2312" w:hAnsi="仿宋_GB2312" w:eastAsia="仿宋_GB2312" w:cs="仿宋_GB2312"/>
          <w:color w:val="auto"/>
          <w:sz w:val="32"/>
          <w:szCs w:val="32"/>
          <w:lang w:val="zh-CN"/>
        </w:rPr>
        <w:t>─202</w:t>
      </w:r>
      <w:r>
        <w:rPr>
          <w:rFonts w:hint="eastAsia" w:ascii="仿宋_GB2312" w:hAnsi="仿宋_GB2312" w:eastAsia="仿宋_GB2312" w:cs="仿宋_GB2312"/>
          <w:color w:val="auto"/>
          <w:sz w:val="32"/>
          <w:szCs w:val="32"/>
          <w:lang w:val="en-US" w:eastAsia="zh-CN"/>
        </w:rPr>
        <w:t>5</w:t>
      </w:r>
      <w:r>
        <w:rPr>
          <w:rFonts w:ascii="仿宋_GB2312" w:hAnsi="仿宋_GB2312" w:eastAsia="仿宋_GB2312" w:cs="仿宋_GB2312"/>
          <w:color w:val="auto"/>
          <w:sz w:val="32"/>
          <w:szCs w:val="32"/>
          <w:lang w:val="zh-CN"/>
        </w:rPr>
        <w:t>年）》</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各地</w:t>
      </w:r>
      <w:r>
        <w:rPr>
          <w:rFonts w:hint="eastAsia" w:ascii="仿宋_GB2312" w:hAnsi="仿宋_GB2312" w:eastAsia="仿宋_GB2312" w:cs="仿宋_GB2312"/>
          <w:color w:val="auto"/>
          <w:sz w:val="32"/>
          <w:szCs w:val="32"/>
        </w:rPr>
        <w:t>制定与当地经济社会发展水平相适应、体现地方特色的实施标准</w:t>
      </w:r>
      <w:r>
        <w:rPr>
          <w:rFonts w:ascii="仿宋_GB2312" w:hAnsi="仿宋_GB2312" w:eastAsia="仿宋_GB2312" w:cs="仿宋_GB2312"/>
          <w:color w:val="auto"/>
          <w:sz w:val="32"/>
          <w:szCs w:val="32"/>
        </w:rPr>
        <w:t>。</w:t>
      </w:r>
    </w:p>
    <w:p>
      <w:pPr>
        <w:widowControl/>
        <w:spacing w:line="500" w:lineRule="exact"/>
        <w:ind w:firstLine="640"/>
        <w:rPr>
          <w:rFonts w:ascii="仿宋_GB2312" w:hAnsi="仿宋_GB2312" w:eastAsia="仿宋_GB2312" w:cs="仿宋_GB2312"/>
          <w:color w:val="auto"/>
          <w:sz w:val="32"/>
          <w:szCs w:val="32"/>
          <w:lang w:val="zh-CN"/>
        </w:rPr>
      </w:pPr>
      <w:r>
        <w:rPr>
          <w:rFonts w:hint="eastAsia" w:ascii="楷体_GB2312" w:hAnsi="楷体_GB2312" w:eastAsia="楷体_GB2312" w:cs="楷体_GB2312"/>
          <w:color w:val="auto"/>
          <w:sz w:val="32"/>
          <w:szCs w:val="32"/>
        </w:rPr>
        <w:t>（十四）推进基层综合性文化服务中心。</w:t>
      </w:r>
      <w:r>
        <w:rPr>
          <w:rFonts w:hint="eastAsia" w:ascii="仿宋_GB2312" w:hAnsi="仿宋_GB2312" w:eastAsia="仿宋_GB2312" w:cs="仿宋_GB2312"/>
          <w:color w:val="auto"/>
          <w:sz w:val="32"/>
          <w:szCs w:val="32"/>
        </w:rPr>
        <w:t>按照《四川省基层综合性文化服务中心建设基本指导标准》，</w:t>
      </w:r>
      <w:r>
        <w:rPr>
          <w:rFonts w:hint="eastAsia" w:ascii="仿宋_GB2312" w:hAnsi="仿宋_GB2312" w:eastAsia="仿宋_GB2312" w:cs="仿宋_GB2312"/>
          <w:color w:val="auto"/>
          <w:sz w:val="32"/>
          <w:szCs w:val="32"/>
          <w:lang w:val="zh-CN"/>
        </w:rPr>
        <w:t>有效整合宣传文化、新闻出版、广播影视、党员教育、科学普及、普法教育、体育健身、应急管理、游客服务等功能，到202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zh-CN"/>
        </w:rPr>
        <w:t>年，</w:t>
      </w:r>
      <w:r>
        <w:rPr>
          <w:rFonts w:hint="eastAsia" w:ascii="仿宋_GB2312" w:hAnsi="仿宋_GB2312" w:eastAsia="仿宋_GB2312" w:cs="仿宋_GB2312"/>
          <w:color w:val="auto"/>
          <w:sz w:val="32"/>
          <w:szCs w:val="32"/>
        </w:rPr>
        <w:t>全省范围的乡镇（街道）和村（社区）</w:t>
      </w:r>
      <w:r>
        <w:rPr>
          <w:rFonts w:hint="eastAsia" w:ascii="仿宋_GB2312" w:hAnsi="仿宋_GB2312" w:eastAsia="仿宋_GB2312" w:cs="仿宋_GB2312"/>
          <w:color w:val="auto"/>
          <w:sz w:val="32"/>
          <w:szCs w:val="32"/>
          <w:lang w:val="en-US" w:eastAsia="zh-CN"/>
        </w:rPr>
        <w:t>基本</w:t>
      </w:r>
      <w:r>
        <w:rPr>
          <w:rFonts w:hint="eastAsia" w:ascii="仿宋_GB2312" w:hAnsi="仿宋_GB2312" w:eastAsia="仿宋_GB2312" w:cs="仿宋_GB2312"/>
          <w:color w:val="auto"/>
          <w:sz w:val="32"/>
          <w:szCs w:val="32"/>
        </w:rPr>
        <w:t>建成</w:t>
      </w:r>
      <w:r>
        <w:rPr>
          <w:rFonts w:hint="eastAsia" w:ascii="仿宋_GB2312" w:hAnsi="仿宋_GB2312" w:eastAsia="仿宋_GB2312" w:cs="仿宋_GB2312"/>
          <w:color w:val="auto"/>
          <w:sz w:val="32"/>
          <w:szCs w:val="32"/>
          <w:lang w:val="zh-CN"/>
        </w:rPr>
        <w:t>基层综合性文化服务中心。</w:t>
      </w:r>
    </w:p>
    <w:p>
      <w:pPr>
        <w:spacing w:line="500"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（十五）畅通优质文化资源流通渠道。</w:t>
      </w:r>
      <w:r>
        <w:rPr>
          <w:rFonts w:hint="eastAsia" w:ascii="仿宋_GB2312" w:hAnsi="仿宋_GB2312" w:eastAsia="仿宋_GB2312" w:cs="仿宋_GB2312"/>
          <w:color w:val="auto"/>
          <w:sz w:val="32"/>
          <w:szCs w:val="32"/>
        </w:rPr>
        <w:t>盘活基层图书馆（室）、文化馆（站）、农家书屋资源，因地制宜，创新运行模式，打造特色品牌。积极鼓励图书馆、文化馆以行业联盟、区域联盟形式开展馆际交流合作，推动公共文化资源有效整合和互联互通。开展博物馆总分馆制建设试点，推动建立区域博物馆联盟，加快实施县级图书馆、文化馆总分馆制建设，到2020年，全省三级馆以上的县级文化馆、图书馆要建立起上下联通、服务优质、覆盖城乡的总分馆服务体系。</w:t>
      </w:r>
    </w:p>
    <w:p>
      <w:pPr>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（十六）深入推进法人治理结构改革。</w:t>
      </w:r>
      <w:r>
        <w:rPr>
          <w:rFonts w:hint="eastAsia" w:ascii="仿宋_GB2312" w:hAnsi="仿宋_GB2312" w:eastAsia="仿宋_GB2312" w:cs="仿宋_GB2312"/>
          <w:color w:val="auto"/>
          <w:sz w:val="32"/>
          <w:szCs w:val="32"/>
        </w:rPr>
        <w:t>鼓励各地因地制宜、由点及面，推动在市（州）级以上具备条件</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图书馆、文化馆</w:t>
      </w:r>
      <w:r>
        <w:rPr>
          <w:rFonts w:hint="eastAsia" w:ascii="仿宋_GB2312" w:hAnsi="仿宋_GB2312" w:eastAsia="仿宋_GB2312" w:cs="仿宋_GB2312"/>
          <w:color w:val="auto"/>
          <w:sz w:val="32"/>
          <w:szCs w:val="32"/>
          <w:lang w:eastAsia="zh-CN"/>
        </w:rPr>
        <w:t>、博物馆</w:t>
      </w:r>
      <w:r>
        <w:rPr>
          <w:rFonts w:hint="eastAsia" w:ascii="仿宋_GB2312" w:hAnsi="仿宋_GB2312" w:eastAsia="仿宋_GB2312" w:cs="仿宋_GB2312"/>
          <w:color w:val="auto"/>
          <w:sz w:val="32"/>
          <w:szCs w:val="32"/>
        </w:rPr>
        <w:t>等公共文化机构建立以理事会（董事会）为主要形式的法人治理结构。到2020年底，全省</w:t>
      </w:r>
      <w:r>
        <w:rPr>
          <w:rFonts w:hint="eastAsia" w:ascii="仿宋_GB2312" w:hAnsi="仿宋_GB2312" w:eastAsia="仿宋_GB2312" w:cs="仿宋_GB2312"/>
          <w:color w:val="auto"/>
          <w:sz w:val="32"/>
          <w:szCs w:val="32"/>
          <w:lang w:eastAsia="zh-CN"/>
        </w:rPr>
        <w:t>等级馆以上</w:t>
      </w:r>
      <w:r>
        <w:rPr>
          <w:rFonts w:hint="eastAsia" w:ascii="仿宋_GB2312" w:hAnsi="仿宋_GB2312" w:eastAsia="仿宋_GB2312" w:cs="仿宋_GB2312"/>
          <w:color w:val="auto"/>
          <w:sz w:val="32"/>
          <w:szCs w:val="32"/>
        </w:rPr>
        <w:t>博物馆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市（州）一级图书馆、</w:t>
      </w:r>
      <w:r>
        <w:rPr>
          <w:rFonts w:hint="eastAsia" w:ascii="仿宋_GB2312" w:hAnsi="仿宋_GB2312" w:eastAsia="仿宋_GB2312" w:cs="仿宋_GB2312"/>
          <w:color w:val="auto"/>
          <w:sz w:val="32"/>
          <w:szCs w:val="32"/>
          <w:lang w:val="en-US" w:eastAsia="zh-CN"/>
        </w:rPr>
        <w:t>市（州）一级</w:t>
      </w:r>
      <w:r>
        <w:rPr>
          <w:rFonts w:hint="eastAsia" w:ascii="仿宋_GB2312" w:hAnsi="仿宋_GB2312" w:eastAsia="仿宋_GB2312" w:cs="仿宋_GB2312"/>
          <w:color w:val="auto"/>
          <w:sz w:val="32"/>
          <w:szCs w:val="32"/>
        </w:rPr>
        <w:t>文化馆</w:t>
      </w:r>
      <w:r>
        <w:rPr>
          <w:rFonts w:hint="eastAsia" w:ascii="仿宋_GB2312" w:hAnsi="仿宋_GB2312" w:eastAsia="仿宋_GB2312" w:cs="仿宋_GB2312"/>
          <w:color w:val="auto"/>
          <w:sz w:val="32"/>
          <w:szCs w:val="32"/>
          <w:lang w:val="en-US" w:eastAsia="zh-CN"/>
        </w:rPr>
        <w:t>全部</w:t>
      </w:r>
      <w:r>
        <w:rPr>
          <w:rFonts w:hint="eastAsia" w:ascii="仿宋_GB2312" w:hAnsi="仿宋_GB2312" w:eastAsia="仿宋_GB2312" w:cs="仿宋_GB2312"/>
          <w:color w:val="auto"/>
          <w:sz w:val="32"/>
          <w:szCs w:val="32"/>
        </w:rPr>
        <w:t>建立</w:t>
      </w:r>
      <w:r>
        <w:rPr>
          <w:rFonts w:hint="eastAsia" w:ascii="仿宋_GB2312" w:hAnsi="仿宋_GB2312" w:eastAsia="仿宋_GB2312" w:cs="仿宋_GB2312"/>
          <w:color w:val="auto"/>
          <w:sz w:val="32"/>
          <w:szCs w:val="32"/>
          <w:lang w:val="en-US" w:eastAsia="zh-CN"/>
        </w:rPr>
        <w:t>起</w:t>
      </w:r>
      <w:r>
        <w:rPr>
          <w:rFonts w:hint="eastAsia" w:ascii="仿宋_GB2312" w:hAnsi="仿宋_GB2312" w:eastAsia="仿宋_GB2312" w:cs="仿宋_GB2312"/>
          <w:color w:val="auto"/>
          <w:sz w:val="32"/>
          <w:szCs w:val="32"/>
        </w:rPr>
        <w:t>以理事会为主要形式的法人治理结构。</w:t>
      </w:r>
    </w:p>
    <w:p>
      <w:pPr>
        <w:spacing w:line="5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六、强化工作保障</w:t>
      </w:r>
    </w:p>
    <w:p>
      <w:pPr>
        <w:spacing w:line="50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（十七）</w:t>
      </w:r>
      <w:r>
        <w:rPr>
          <w:rFonts w:hint="eastAsia" w:ascii="楷体_GB2312" w:hAnsi="楷体_GB2312" w:eastAsia="楷体_GB2312" w:cs="楷体_GB2312"/>
          <w:color w:val="auto"/>
          <w:sz w:val="32"/>
          <w:szCs w:val="32"/>
          <w:lang w:eastAsia="zh-CN"/>
        </w:rPr>
        <w:t>坚持法治引领</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rPr>
        <w:t>认真贯彻落实《中华人民共和国公共文化服务保障法》《中华人民共</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国文物保护法》《中华人民共和国公共图书馆法》《博物馆条例》《四川省公共图书馆条例》等法律法规，加快推动《四川省公共文化服务保障条例》出台，切实落实各级政府公共文化服务主体责任，加强普法宣传、抓好学习培训、开展执法检查，推动制定符合四川实际的配套政策，发挥法律法规引领和规范作用。</w:t>
      </w:r>
    </w:p>
    <w:p>
      <w:pPr>
        <w:spacing w:line="500"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（十八）强化组织领导。</w:t>
      </w:r>
      <w:r>
        <w:rPr>
          <w:rFonts w:hint="eastAsia" w:ascii="仿宋_GB2312" w:hAnsi="仿宋_GB2312" w:eastAsia="仿宋_GB2312" w:cs="仿宋_GB2312"/>
          <w:color w:val="auto"/>
          <w:sz w:val="32"/>
          <w:szCs w:val="32"/>
        </w:rPr>
        <w:t>建好用好各级公共文化服务体系建设协调机制，由政府协调、宣传部门牵头，充分发挥各组成部门职能、资源优势，在规划编制、政策衔接、标准制定和项目实施等方面加强统筹、整体设计、协调推进，加强新建公共文化设施的土地、资金、人才等要素保障，推进各项举措落地见效。</w:t>
      </w:r>
    </w:p>
    <w:p>
      <w:pPr>
        <w:spacing w:line="500" w:lineRule="exact"/>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（十九）着力队伍建设。</w:t>
      </w:r>
      <w:r>
        <w:rPr>
          <w:rFonts w:hint="eastAsia" w:ascii="仿宋_GB2312" w:hAnsi="仿宋_GB2312" w:eastAsia="仿宋_GB2312" w:cs="仿宋_GB2312"/>
          <w:color w:val="auto"/>
          <w:sz w:val="32"/>
          <w:szCs w:val="32"/>
        </w:rPr>
        <w:t>进一步完善</w:t>
      </w:r>
      <w:r>
        <w:rPr>
          <w:rFonts w:hint="eastAsia" w:ascii="仿宋_GB2312" w:hAnsi="仿宋_GB2312" w:eastAsia="仿宋_GB2312" w:cs="仿宋_GB2312"/>
          <w:color w:val="auto"/>
          <w:sz w:val="32"/>
          <w:szCs w:val="32"/>
          <w:lang w:val="en-US" w:eastAsia="zh-CN"/>
        </w:rPr>
        <w:t>文化、</w:t>
      </w:r>
      <w:r>
        <w:rPr>
          <w:rFonts w:hint="eastAsia" w:ascii="仿宋_GB2312" w:hAnsi="仿宋_GB2312" w:eastAsia="仿宋_GB2312" w:cs="仿宋_GB2312"/>
          <w:color w:val="auto"/>
          <w:sz w:val="32"/>
          <w:szCs w:val="32"/>
        </w:rPr>
        <w:t>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物单位人才培养、使用、评价机制，适当提高高级专业技术岗位结构比例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加强急需紧缺高层次人才引进，探索</w:t>
      </w:r>
      <w:r>
        <w:rPr>
          <w:rFonts w:hint="eastAsia" w:ascii="仿宋_GB2312" w:hAnsi="仿宋_GB2312" w:eastAsia="仿宋_GB2312" w:cs="仿宋_GB2312"/>
          <w:color w:val="auto"/>
          <w:sz w:val="32"/>
          <w:szCs w:val="32"/>
          <w:lang w:val="en-US" w:eastAsia="zh-CN"/>
        </w:rPr>
        <w:t>建立</w:t>
      </w:r>
      <w:r>
        <w:rPr>
          <w:rFonts w:hint="eastAsia" w:ascii="仿宋_GB2312" w:hAnsi="仿宋_GB2312" w:eastAsia="仿宋_GB2312" w:cs="仿宋_GB2312"/>
          <w:color w:val="auto"/>
          <w:sz w:val="32"/>
          <w:szCs w:val="32"/>
        </w:rPr>
        <w:t>科研技术人员创新创业绩效激励机制。完善文化志愿者招募、培训、服务管理、评价考核机制，努力培育打造四川特色文化志愿</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color w:val="auto"/>
          <w:sz w:val="32"/>
          <w:szCs w:val="32"/>
        </w:rPr>
        <w:t>品牌</w:t>
      </w:r>
      <w:r>
        <w:rPr>
          <w:rFonts w:hint="eastAsia"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 xml:space="preserve">   到2022年，完成</w:t>
      </w:r>
      <w:r>
        <w:rPr>
          <w:rFonts w:hint="eastAsia" w:ascii="Times New Roman" w:hAnsi="Times New Roman" w:eastAsia="仿宋_GB2312" w:cs="Times New Roman"/>
          <w:color w:val="auto"/>
          <w:sz w:val="32"/>
          <w:szCs w:val="32"/>
        </w:rPr>
        <w:t>百名文化馆（图书馆、博物馆）馆长、千名乡镇文化站长、万名村文化和旅游志愿者培训</w:t>
      </w:r>
      <w:r>
        <w:rPr>
          <w:rFonts w:hint="eastAsia" w:ascii="仿宋_GB2312" w:hAnsi="仿宋_GB2312" w:eastAsia="仿宋_GB2312" w:cs="仿宋_GB2312"/>
          <w:color w:val="auto"/>
          <w:sz w:val="32"/>
          <w:szCs w:val="32"/>
          <w:lang w:val="en-US" w:eastAsia="zh-CN"/>
        </w:rPr>
        <w:t>任务</w:t>
      </w:r>
      <w:r>
        <w:rPr>
          <w:rFonts w:hint="eastAsia" w:ascii="仿宋_GB2312" w:hAnsi="仿宋_GB2312" w:eastAsia="仿宋_GB2312" w:cs="仿宋_GB2312"/>
          <w:color w:val="auto"/>
          <w:sz w:val="32"/>
          <w:szCs w:val="32"/>
        </w:rPr>
        <w:t>，提升基层文化队伍能力。</w:t>
      </w:r>
    </w:p>
    <w:p>
      <w:pPr>
        <w:spacing w:line="500"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（二十）严格督促落实。</w:t>
      </w:r>
      <w:r>
        <w:rPr>
          <w:rFonts w:hint="eastAsia" w:ascii="仿宋_GB2312" w:hAnsi="仿宋_GB2312" w:eastAsia="仿宋_GB2312" w:cs="仿宋_GB2312"/>
          <w:color w:val="auto"/>
          <w:sz w:val="32"/>
          <w:szCs w:val="32"/>
        </w:rPr>
        <w:t>以效能建设为导向，完善公共文化服务效能评价指标，开展基层公共文化服务效能治理行动，利用大数据平台、第三方评估机制等加强对各地公共文化服务效能的实时监测和动态管理。加大对重大公共文化项目资金使用、绩效等方面的监督和评估，切实提升公共文化服务效能，提高群众满意度。</w:t>
      </w:r>
    </w:p>
    <w:p>
      <w:pPr>
        <w:pStyle w:val="2"/>
        <w:spacing w:line="500" w:lineRule="exact"/>
        <w:rPr>
          <w:color w:val="auto"/>
        </w:rPr>
      </w:pPr>
    </w:p>
    <w:p>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附件：1.全省公共图书馆效能提升行动方案</w:t>
      </w:r>
    </w:p>
    <w:p>
      <w:pPr>
        <w:spacing w:line="500" w:lineRule="exact"/>
        <w:ind w:left="1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2.全省文化馆效能提升行动方案</w:t>
      </w:r>
    </w:p>
    <w:p>
      <w:pPr>
        <w:spacing w:line="500" w:lineRule="exact"/>
        <w:ind w:left="1600"/>
        <w:rPr>
          <w:rFonts w:ascii="仿宋_GB2312" w:hAnsi="仿宋_GB2312" w:eastAsia="仿宋_GB2312" w:cs="仿宋_GB2312"/>
          <w:color w:val="auto"/>
          <w:sz w:val="32"/>
          <w:szCs w:val="32"/>
        </w:rPr>
        <w:sectPr>
          <w:pgSz w:w="11907" w:h="16840"/>
          <w:pgMar w:top="2098" w:right="1474" w:bottom="1984" w:left="1587" w:header="851" w:footer="992" w:gutter="0"/>
          <w:cols w:space="425" w:num="1"/>
          <w:docGrid w:type="linesAndChars" w:linePitch="582" w:charSpace="0"/>
        </w:sectPr>
      </w:pPr>
      <w:r>
        <w:rPr>
          <w:rFonts w:hint="eastAsia" w:ascii="仿宋_GB2312" w:hAnsi="仿宋_GB2312" w:eastAsia="仿宋_GB2312" w:cs="仿宋_GB2312"/>
          <w:color w:val="auto"/>
          <w:sz w:val="32"/>
          <w:szCs w:val="32"/>
        </w:rPr>
        <w:t>3.全省博物馆效能提升行动方案</w:t>
      </w:r>
    </w:p>
    <w:p>
      <w:pPr>
        <w:spacing w:line="600" w:lineRule="exact"/>
        <w:rPr>
          <w:rFonts w:ascii="黑体" w:hAnsi="黑体" w:eastAsia="黑体" w:cs="黑体"/>
          <w:color w:val="auto"/>
          <w:sz w:val="32"/>
          <w:szCs w:val="32"/>
        </w:rPr>
      </w:pPr>
      <w:r>
        <w:rPr>
          <w:rFonts w:hint="eastAsia" w:ascii="黑体" w:hAnsi="黑体" w:eastAsia="黑体" w:cs="黑体"/>
          <w:color w:val="auto"/>
          <w:sz w:val="32"/>
          <w:szCs w:val="32"/>
        </w:rPr>
        <w:t>附件1</w:t>
      </w:r>
    </w:p>
    <w:p>
      <w:pPr>
        <w:pStyle w:val="2"/>
        <w:rPr>
          <w:color w:val="auto"/>
        </w:rPr>
      </w:pPr>
    </w:p>
    <w:p>
      <w:pPr>
        <w:spacing w:line="700" w:lineRule="exact"/>
        <w:jc w:val="center"/>
        <w:rPr>
          <w:rFonts w:ascii="方正小标宋简体" w:eastAsia="方正小标宋简体"/>
          <w:bCs/>
          <w:color w:val="auto"/>
          <w:sz w:val="44"/>
          <w:szCs w:val="44"/>
        </w:rPr>
      </w:pPr>
      <w:r>
        <w:rPr>
          <w:rFonts w:hint="eastAsia" w:ascii="方正小标宋简体" w:eastAsia="方正小标宋简体"/>
          <w:bCs/>
          <w:color w:val="auto"/>
          <w:sz w:val="44"/>
          <w:szCs w:val="44"/>
        </w:rPr>
        <w:t>全省公共图书馆效能提升</w:t>
      </w:r>
      <w:r>
        <w:rPr>
          <w:rFonts w:hint="eastAsia" w:ascii="方正小标宋简体" w:eastAsia="方正小标宋简体"/>
          <w:bCs/>
          <w:color w:val="auto"/>
          <w:sz w:val="44"/>
          <w:szCs w:val="44"/>
          <w:lang w:eastAsia="zh-CN"/>
        </w:rPr>
        <w:t>六大</w:t>
      </w:r>
      <w:r>
        <w:rPr>
          <w:rFonts w:hint="eastAsia" w:ascii="方正小标宋简体" w:eastAsia="方正小标宋简体"/>
          <w:bCs/>
          <w:color w:val="auto"/>
          <w:sz w:val="44"/>
          <w:szCs w:val="44"/>
        </w:rPr>
        <w:t>行动方案</w:t>
      </w:r>
    </w:p>
    <w:p>
      <w:pPr>
        <w:spacing w:line="700" w:lineRule="exact"/>
        <w:jc w:val="center"/>
        <w:rPr>
          <w:rFonts w:ascii="方正小标宋简体" w:eastAsia="方正小标宋简体"/>
          <w:bCs/>
          <w:color w:val="auto"/>
          <w:sz w:val="44"/>
          <w:szCs w:val="44"/>
        </w:rPr>
      </w:pPr>
      <w:r>
        <w:rPr>
          <w:rFonts w:hint="eastAsia" w:ascii="方正小标宋简体" w:eastAsia="方正小标宋简体"/>
          <w:bCs/>
          <w:color w:val="auto"/>
          <w:sz w:val="44"/>
          <w:szCs w:val="44"/>
        </w:rPr>
        <w:t>（2020-2022年）</w:t>
      </w:r>
    </w:p>
    <w:p>
      <w:pPr>
        <w:spacing w:line="560" w:lineRule="exact"/>
        <w:ind w:firstLine="420" w:firstLineChars="200"/>
        <w:rPr>
          <w:rFonts w:ascii="仿宋" w:hAnsi="仿宋" w:eastAsia="仿宋" w:cs="仿宋_GB2312"/>
          <w:color w:val="auto"/>
          <w:szCs w:val="32"/>
        </w:rPr>
      </w:pPr>
    </w:p>
    <w:p>
      <w:pPr>
        <w:spacing w:line="560" w:lineRule="exact"/>
        <w:ind w:firstLine="707" w:firstLineChars="221"/>
        <w:rPr>
          <w:rFonts w:ascii="仿宋" w:hAnsi="仿宋" w:eastAsia="仿宋"/>
          <w:bCs/>
          <w:color w:val="auto"/>
          <w:kern w:val="0"/>
          <w:sz w:val="32"/>
          <w:szCs w:val="32"/>
        </w:rPr>
      </w:pPr>
      <w:r>
        <w:rPr>
          <w:rFonts w:hint="eastAsia" w:ascii="仿宋" w:hAnsi="仿宋" w:eastAsia="仿宋"/>
          <w:bCs/>
          <w:color w:val="auto"/>
          <w:kern w:val="0"/>
          <w:sz w:val="32"/>
          <w:szCs w:val="32"/>
        </w:rPr>
        <w:t>为贯彻落实省委十一届三次全会提出的“完善公共文化服务体系，大力实施博物馆、图书馆、文化馆提升行动”精神和文化旅游发展大会精神，补齐公共图书馆事业发展短板，丰富公共文化产品供给，提升公共文化服务效能，构建全民阅读，结合我省实际，特制定以下行动方案。</w:t>
      </w:r>
    </w:p>
    <w:p>
      <w:pPr>
        <w:spacing w:line="560" w:lineRule="exact"/>
        <w:ind w:firstLine="707" w:firstLineChars="221"/>
        <w:rPr>
          <w:rFonts w:ascii="黑体" w:hAnsi="黑体" w:eastAsia="黑体" w:cs="黑体"/>
          <w:bCs/>
          <w:color w:val="auto"/>
          <w:kern w:val="0"/>
          <w:sz w:val="32"/>
          <w:szCs w:val="32"/>
        </w:rPr>
      </w:pPr>
      <w:r>
        <w:rPr>
          <w:rFonts w:hint="eastAsia" w:ascii="黑体" w:hAnsi="黑体" w:eastAsia="黑体" w:cs="黑体"/>
          <w:bCs/>
          <w:color w:val="auto"/>
          <w:kern w:val="0"/>
          <w:sz w:val="32"/>
          <w:szCs w:val="32"/>
        </w:rPr>
        <w:t>一、工作目标</w:t>
      </w:r>
    </w:p>
    <w:p>
      <w:pPr>
        <w:spacing w:line="560" w:lineRule="exact"/>
        <w:ind w:firstLine="707" w:firstLineChars="221"/>
        <w:rPr>
          <w:rFonts w:ascii="仿宋" w:hAnsi="仿宋" w:eastAsia="仿宋"/>
          <w:bCs/>
          <w:color w:val="auto"/>
          <w:kern w:val="0"/>
          <w:sz w:val="32"/>
          <w:szCs w:val="32"/>
        </w:rPr>
      </w:pPr>
      <w:r>
        <w:rPr>
          <w:rFonts w:hint="eastAsia" w:ascii="仿宋" w:hAnsi="仿宋" w:eastAsia="仿宋"/>
          <w:bCs/>
          <w:color w:val="auto"/>
          <w:kern w:val="0"/>
          <w:sz w:val="32"/>
          <w:szCs w:val="32"/>
        </w:rPr>
        <w:t>到2022年，以省图书馆为龙头的公共图书馆全民阅读服务网络全面建成，全省公共图书馆服务效能显著提升，队伍建设更加完善。</w:t>
      </w:r>
    </w:p>
    <w:p>
      <w:pPr>
        <w:spacing w:line="560" w:lineRule="exact"/>
        <w:ind w:firstLine="707" w:firstLineChars="221"/>
        <w:rPr>
          <w:rFonts w:ascii="仿宋" w:hAnsi="仿宋" w:eastAsia="仿宋"/>
          <w:bCs/>
          <w:color w:val="auto"/>
          <w:kern w:val="0"/>
          <w:sz w:val="32"/>
          <w:szCs w:val="32"/>
        </w:rPr>
      </w:pPr>
      <w:r>
        <w:rPr>
          <w:rFonts w:hint="eastAsia" w:ascii="仿宋" w:hAnsi="仿宋" w:eastAsia="仿宋"/>
          <w:bCs/>
          <w:color w:val="auto"/>
          <w:kern w:val="0"/>
          <w:sz w:val="32"/>
          <w:szCs w:val="32"/>
        </w:rPr>
        <w:t>——全省县级以上公共图书馆80%达到部颁三级以上标准，每万人公共图书馆建设面积达到95平方米，总分馆制建设进一步完善。省、市、县、乡、村五级服务网络全面覆盖。</w:t>
      </w:r>
    </w:p>
    <w:p>
      <w:pPr>
        <w:spacing w:line="560" w:lineRule="exact"/>
        <w:ind w:firstLine="707" w:firstLineChars="221"/>
        <w:rPr>
          <w:rFonts w:ascii="仿宋" w:hAnsi="仿宋" w:eastAsia="仿宋"/>
          <w:bCs/>
          <w:color w:val="auto"/>
          <w:kern w:val="0"/>
          <w:sz w:val="32"/>
          <w:szCs w:val="32"/>
        </w:rPr>
      </w:pPr>
      <w:r>
        <w:rPr>
          <w:rFonts w:hint="eastAsia" w:ascii="仿宋" w:hAnsi="仿宋" w:eastAsia="仿宋"/>
          <w:bCs/>
          <w:color w:val="auto"/>
          <w:kern w:val="0"/>
          <w:sz w:val="32"/>
          <w:szCs w:val="32"/>
        </w:rPr>
        <w:t>——全省人均公共图书馆（含分馆）藏量达到1.0册，年人均新增藏量0.05册，年流通人次达到4000万人次，文献外借册次达到2500万册。充分利用流动服务、数字服务拓展服务覆盖面，提升服务效能。</w:t>
      </w:r>
    </w:p>
    <w:p>
      <w:pPr>
        <w:spacing w:line="560" w:lineRule="exact"/>
        <w:ind w:firstLine="707" w:firstLineChars="221"/>
        <w:rPr>
          <w:rFonts w:ascii="仿宋" w:hAnsi="仿宋" w:eastAsia="仿宋"/>
          <w:bCs/>
          <w:color w:val="auto"/>
          <w:kern w:val="0"/>
          <w:sz w:val="32"/>
          <w:szCs w:val="32"/>
        </w:rPr>
      </w:pPr>
      <w:r>
        <w:rPr>
          <w:rFonts w:hint="eastAsia" w:ascii="仿宋" w:hAnsi="仿宋" w:eastAsia="仿宋"/>
          <w:bCs/>
          <w:color w:val="auto"/>
          <w:kern w:val="0"/>
          <w:sz w:val="32"/>
          <w:szCs w:val="32"/>
        </w:rPr>
        <w:t>——县级以上公共图书馆专业人才队伍建设逐步加强；乡镇综合文化站、村级综合性文化服务中心图书室至少配备1名专（兼）职管理人员，文化志愿者力量得到充分发挥。</w:t>
      </w:r>
    </w:p>
    <w:p>
      <w:pPr>
        <w:spacing w:line="560" w:lineRule="exact"/>
        <w:ind w:firstLine="640" w:firstLineChars="200"/>
        <w:rPr>
          <w:rFonts w:ascii="黑体" w:hAnsi="黑体" w:eastAsia="黑体" w:cs="仿宋_GB2312"/>
          <w:bCs/>
          <w:color w:val="auto"/>
          <w:sz w:val="32"/>
          <w:szCs w:val="32"/>
        </w:rPr>
      </w:pPr>
      <w:r>
        <w:rPr>
          <w:rFonts w:hint="eastAsia" w:ascii="黑体" w:hAnsi="黑体" w:eastAsia="黑体" w:cs="仿宋_GB2312"/>
          <w:bCs/>
          <w:color w:val="auto"/>
          <w:sz w:val="32"/>
          <w:szCs w:val="32"/>
        </w:rPr>
        <w:t>二、六大行动</w:t>
      </w:r>
    </w:p>
    <w:p>
      <w:pPr>
        <w:spacing w:line="56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（一）设施网络达标行动</w:t>
      </w:r>
    </w:p>
    <w:p>
      <w:pPr>
        <w:spacing w:line="560" w:lineRule="exact"/>
        <w:ind w:firstLine="707" w:firstLineChars="221"/>
        <w:rPr>
          <w:rFonts w:ascii="仿宋" w:hAnsi="仿宋" w:eastAsia="仿宋"/>
          <w:bCs/>
          <w:color w:val="auto"/>
          <w:kern w:val="0"/>
          <w:sz w:val="32"/>
          <w:szCs w:val="32"/>
        </w:rPr>
      </w:pPr>
      <w:r>
        <w:rPr>
          <w:rFonts w:hint="eastAsia" w:ascii="仿宋" w:hAnsi="仿宋" w:eastAsia="仿宋"/>
          <w:bCs/>
          <w:color w:val="auto"/>
          <w:kern w:val="0"/>
          <w:sz w:val="32"/>
          <w:szCs w:val="32"/>
        </w:rPr>
        <w:t>1.公共图书馆设施达标提升工程。推动公共图书馆设施设备、服务网络标准化建设，加强不达标市、县两级公共图书馆新建、改建和扩建，加快推进内江市市中区、东兴区和宜宾市翠屏区图书馆新馆建设工程，重点推进民族地区、深度贫困地区、集中连片特困地区公共图书馆提档升级。到2022年底，全省公共图书馆上等级馆数量由143个提升到165个。</w:t>
      </w:r>
    </w:p>
    <w:p>
      <w:pPr>
        <w:spacing w:line="560" w:lineRule="exact"/>
        <w:ind w:firstLine="707" w:firstLineChars="221"/>
        <w:rPr>
          <w:rFonts w:ascii="仿宋" w:hAnsi="仿宋" w:eastAsia="仿宋"/>
          <w:bCs/>
          <w:color w:val="auto"/>
          <w:kern w:val="0"/>
          <w:sz w:val="32"/>
          <w:szCs w:val="32"/>
        </w:rPr>
      </w:pPr>
      <w:r>
        <w:rPr>
          <w:rFonts w:hint="eastAsia" w:ascii="仿宋" w:hAnsi="仿宋" w:eastAsia="仿宋"/>
          <w:bCs/>
          <w:color w:val="auto"/>
          <w:kern w:val="0"/>
          <w:sz w:val="32"/>
          <w:szCs w:val="32"/>
        </w:rPr>
        <w:t>2.搭建全民数字阅读服务平台。借助“智游天府”平台建设和国家公共数字文化建设，整合省图书馆数字服务平台，构建省、市、县三级数字阅读服务平台，基本建成全民数字阅读资源库。突出新媒体在全民阅读中的优势，进一步优化图书馆网站建设，构建新媒体阅读环境。到2022年底，实现90%以上市、县两级图书馆开通微信公众号，提供馆藏资源查询、读者自助借还服务等，定期推送服务信息。</w:t>
      </w:r>
    </w:p>
    <w:p>
      <w:pPr>
        <w:spacing w:line="560" w:lineRule="exact"/>
        <w:ind w:firstLine="707" w:firstLineChars="221"/>
        <w:rPr>
          <w:rFonts w:ascii="楷体_GB2312" w:hAnsi="楷体_GB2312" w:eastAsia="楷体_GB2312" w:cs="楷体_GB2312"/>
          <w:bCs/>
          <w:color w:val="auto"/>
          <w:kern w:val="0"/>
          <w:sz w:val="32"/>
          <w:szCs w:val="32"/>
        </w:rPr>
      </w:pPr>
      <w:r>
        <w:rPr>
          <w:rFonts w:hint="eastAsia" w:ascii="楷体_GB2312" w:hAnsi="楷体_GB2312" w:eastAsia="楷体_GB2312" w:cs="楷体_GB2312"/>
          <w:bCs/>
          <w:color w:val="auto"/>
          <w:kern w:val="0"/>
          <w:sz w:val="32"/>
          <w:szCs w:val="32"/>
        </w:rPr>
        <w:t>（二）服务供给优化行动</w:t>
      </w:r>
    </w:p>
    <w:p>
      <w:pPr>
        <w:spacing w:line="560" w:lineRule="exact"/>
        <w:ind w:firstLine="707" w:firstLineChars="221"/>
        <w:rPr>
          <w:rFonts w:ascii="仿宋" w:hAnsi="仿宋" w:eastAsia="仿宋"/>
          <w:bCs/>
          <w:color w:val="auto"/>
          <w:kern w:val="0"/>
          <w:sz w:val="32"/>
          <w:szCs w:val="32"/>
        </w:rPr>
      </w:pPr>
      <w:r>
        <w:rPr>
          <w:rFonts w:hint="eastAsia" w:ascii="仿宋" w:hAnsi="仿宋" w:eastAsia="仿宋"/>
          <w:bCs/>
          <w:color w:val="auto"/>
          <w:kern w:val="0"/>
          <w:sz w:val="32"/>
          <w:szCs w:val="32"/>
        </w:rPr>
        <w:t>3.创新全民阅读服务。积极推广错时延时服务，开展通借通还、一卡通、24小时自助借还服务。民族地区、高原山区、偏远乡镇和贫困村等要充分要利用流动图书车、流动文化车开展流动服务。鼓励在城市大型广场、居民集中居住区建设城市书房、朗读亭等，到2022年底，各市（州）分别建成不少于2个城市书房和5个朗读亭。</w:t>
      </w:r>
    </w:p>
    <w:p>
      <w:pPr>
        <w:spacing w:line="560" w:lineRule="exact"/>
        <w:ind w:firstLine="707" w:firstLineChars="221"/>
        <w:rPr>
          <w:rFonts w:ascii="仿宋" w:hAnsi="仿宋" w:eastAsia="仿宋"/>
          <w:bCs/>
          <w:color w:val="auto"/>
          <w:kern w:val="0"/>
          <w:sz w:val="32"/>
          <w:szCs w:val="32"/>
        </w:rPr>
      </w:pPr>
      <w:r>
        <w:rPr>
          <w:rFonts w:hint="eastAsia" w:ascii="仿宋" w:hAnsi="仿宋" w:eastAsia="仿宋"/>
          <w:bCs/>
          <w:color w:val="auto"/>
          <w:kern w:val="0"/>
          <w:sz w:val="32"/>
          <w:szCs w:val="32"/>
        </w:rPr>
        <w:t>4.打造“书香四川•悦读四季”品牌。围绕“书香四川”主题，以“春生、夏长、秋收、冬藏”为主线，以“4·23”世界读书日、全民阅读月及传统节庆节假日、重大活动等为重要节点，由省图书馆牵头，市（州）轮流承办，推动全民阅读在全省各地全覆盖。到2022年，省图书馆形成4个以上服务品牌，一级馆形成2个以上服务品牌，其他馆形成1个以上服务品牌，带动形成全民阅读的良好氛围。</w:t>
      </w:r>
    </w:p>
    <w:p>
      <w:pPr>
        <w:spacing w:line="560" w:lineRule="exact"/>
        <w:ind w:firstLine="707" w:firstLineChars="221"/>
        <w:rPr>
          <w:rFonts w:ascii="仿宋" w:hAnsi="仿宋" w:eastAsia="仿宋"/>
          <w:bCs/>
          <w:color w:val="auto"/>
          <w:kern w:val="0"/>
          <w:sz w:val="32"/>
          <w:szCs w:val="32"/>
        </w:rPr>
      </w:pPr>
      <w:r>
        <w:rPr>
          <w:rFonts w:hint="eastAsia" w:ascii="仿宋" w:hAnsi="仿宋" w:eastAsia="仿宋"/>
          <w:bCs/>
          <w:color w:val="auto"/>
          <w:kern w:val="0"/>
          <w:sz w:val="32"/>
          <w:szCs w:val="32"/>
        </w:rPr>
        <w:t>5.特殊群体阅读权益保障行动。针对老年人、未成年人、残疾人、农民工、留守儿童等特殊群体不同阅读需求，推出“订单式”“送书上门”服务。推动21个市（州）图书馆和县（市、区）一级图书馆建立盲人阅览室（区），设置无障碍设施设备，提供无障碍阅读服务。以公共文化机构、社区和企业为实施主体，建设一批农民工图书驿站、留守儿童阅读之家。继续实施“汉藏文化交流”项目，推动民族地区开展全民阅读。</w:t>
      </w:r>
    </w:p>
    <w:p>
      <w:pPr>
        <w:spacing w:line="560" w:lineRule="exact"/>
        <w:ind w:firstLine="707" w:firstLineChars="221"/>
        <w:rPr>
          <w:rFonts w:ascii="楷体_GB2312" w:hAnsi="楷体_GB2312" w:eastAsia="楷体_GB2312" w:cs="楷体_GB2312"/>
          <w:bCs/>
          <w:color w:val="auto"/>
          <w:kern w:val="0"/>
          <w:sz w:val="32"/>
          <w:szCs w:val="32"/>
        </w:rPr>
      </w:pPr>
      <w:r>
        <w:rPr>
          <w:rFonts w:hint="eastAsia" w:ascii="楷体_GB2312" w:hAnsi="楷体_GB2312" w:eastAsia="楷体_GB2312" w:cs="楷体_GB2312"/>
          <w:bCs/>
          <w:color w:val="auto"/>
          <w:kern w:val="0"/>
          <w:sz w:val="32"/>
          <w:szCs w:val="32"/>
        </w:rPr>
        <w:t>（三）服务模式创新行动</w:t>
      </w:r>
    </w:p>
    <w:p>
      <w:pPr>
        <w:spacing w:line="560" w:lineRule="exact"/>
        <w:ind w:firstLine="707" w:firstLineChars="221"/>
        <w:rPr>
          <w:rFonts w:ascii="仿宋" w:hAnsi="仿宋" w:eastAsia="仿宋"/>
          <w:bCs/>
          <w:color w:val="auto"/>
          <w:kern w:val="0"/>
          <w:sz w:val="32"/>
          <w:szCs w:val="32"/>
        </w:rPr>
      </w:pPr>
      <w:r>
        <w:rPr>
          <w:rFonts w:hint="eastAsia" w:ascii="仿宋" w:hAnsi="仿宋" w:eastAsia="仿宋"/>
          <w:bCs/>
          <w:color w:val="auto"/>
          <w:kern w:val="0"/>
          <w:sz w:val="32"/>
          <w:szCs w:val="32"/>
        </w:rPr>
        <w:t>6.“川阅之声”有声阅读活动。针对农村地区全民阅读薄弱现状，在全省试点推广“川阅之声”有声阅读活动，各级图书馆要加强优秀书籍有声化，建立有声读物资源库，利用广播电视“村村通、户户响”资源，每天定时播放有声读物，让没有阅读能力和阅读时间的群众变读书为听书。到2022年底，“川阅之声”有声阅读活动覆盖80%以上的行政村，每天播放有声读物时间不少于1小时。</w:t>
      </w:r>
    </w:p>
    <w:p>
      <w:pPr>
        <w:spacing w:line="560" w:lineRule="exact"/>
        <w:ind w:firstLine="707" w:firstLineChars="221"/>
        <w:rPr>
          <w:rFonts w:ascii="仿宋" w:hAnsi="仿宋" w:eastAsia="仿宋"/>
          <w:bCs/>
          <w:color w:val="auto"/>
          <w:kern w:val="0"/>
          <w:sz w:val="32"/>
          <w:szCs w:val="32"/>
        </w:rPr>
      </w:pPr>
      <w:r>
        <w:rPr>
          <w:rFonts w:hint="eastAsia" w:ascii="仿宋" w:hAnsi="仿宋" w:eastAsia="仿宋"/>
          <w:bCs/>
          <w:color w:val="auto"/>
          <w:kern w:val="0"/>
          <w:sz w:val="32"/>
          <w:szCs w:val="32"/>
        </w:rPr>
        <w:t>7.推行“馆店融合”示范工程。采用“你读书、我买单”核心设计，将图书馆传统的“采、藏、借”模式转变为“借、采、藏”模式，实现馆店互通，为读者一站式便捷服务。鼓励与新华文轩合作，建设“馆中店”“店中馆”。力争2022年底，每个市（州）至少建有1家“馆店融合”示范店，有效提升阅读服务水平。</w:t>
      </w:r>
    </w:p>
    <w:p>
      <w:pPr>
        <w:spacing w:line="560" w:lineRule="exact"/>
        <w:ind w:firstLine="707" w:firstLineChars="221"/>
        <w:rPr>
          <w:rFonts w:ascii="仿宋" w:hAnsi="仿宋" w:eastAsia="仿宋"/>
          <w:bCs/>
          <w:color w:val="auto"/>
          <w:kern w:val="0"/>
          <w:sz w:val="32"/>
          <w:szCs w:val="32"/>
        </w:rPr>
      </w:pPr>
      <w:r>
        <w:rPr>
          <w:rFonts w:hint="eastAsia" w:ascii="仿宋" w:hAnsi="仿宋" w:eastAsia="仿宋"/>
          <w:bCs/>
          <w:color w:val="auto"/>
          <w:kern w:val="0"/>
          <w:sz w:val="32"/>
          <w:szCs w:val="32"/>
        </w:rPr>
        <w:t>8.“两个一百”经典诵读示范项目。通过现代技术和文化创意，在风景名胜区、遗址遗迹点、纪念场馆地等创建100个文化经典诵读示范基地；充分发挥公共图书馆、高校图书馆、中小学图书馆和其他各类图书馆作用，创建100个文化经典诵读示范图书馆，面向大众开展文化经典诵读推广服务。</w:t>
      </w:r>
    </w:p>
    <w:p>
      <w:pPr>
        <w:spacing w:line="56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（四）古籍文献保护行动</w:t>
      </w:r>
    </w:p>
    <w:p>
      <w:pPr>
        <w:spacing w:line="560" w:lineRule="exact"/>
        <w:ind w:firstLine="707" w:firstLineChars="221"/>
        <w:rPr>
          <w:rFonts w:ascii="仿宋" w:hAnsi="仿宋" w:eastAsia="仿宋" w:cs="宋体"/>
          <w:color w:val="auto"/>
          <w:kern w:val="0"/>
          <w:sz w:val="32"/>
          <w:szCs w:val="32"/>
        </w:rPr>
      </w:pPr>
      <w:r>
        <w:rPr>
          <w:rFonts w:hint="eastAsia" w:ascii="仿宋" w:hAnsi="仿宋" w:eastAsia="仿宋" w:cs="宋体"/>
          <w:color w:val="auto"/>
          <w:kern w:val="0"/>
          <w:sz w:val="32"/>
          <w:szCs w:val="32"/>
        </w:rPr>
        <w:t>9.古籍和民国文献保护行动。加强古籍重点保护单位和古籍保护单位动态管理，探索开展省级古籍重点保护点评审命名</w:t>
      </w:r>
      <w:r>
        <w:rPr>
          <w:rFonts w:ascii="仿宋" w:hAnsi="仿宋" w:eastAsia="仿宋" w:cs="宋体"/>
          <w:color w:val="auto"/>
          <w:kern w:val="0"/>
          <w:sz w:val="32"/>
          <w:szCs w:val="32"/>
        </w:rPr>
        <w:t>。</w:t>
      </w:r>
      <w:r>
        <w:rPr>
          <w:rFonts w:hint="eastAsia" w:ascii="仿宋" w:hAnsi="仿宋" w:eastAsia="仿宋" w:cs="宋体"/>
          <w:color w:val="auto"/>
          <w:kern w:val="0"/>
          <w:sz w:val="32"/>
          <w:szCs w:val="32"/>
        </w:rPr>
        <w:t>由省古籍保护中心牵头，以省图书馆、省文化馆、省博物院为重点，实施民国文献保护行动。</w:t>
      </w:r>
      <w:r>
        <w:rPr>
          <w:rFonts w:hint="eastAsia" w:ascii="仿宋" w:hAnsi="仿宋" w:eastAsia="仿宋"/>
          <w:bCs/>
          <w:color w:val="auto"/>
          <w:kern w:val="0"/>
          <w:sz w:val="32"/>
          <w:szCs w:val="32"/>
        </w:rPr>
        <w:t>推进《洪武南藏》抢救性修复项目</w:t>
      </w:r>
      <w:r>
        <w:rPr>
          <w:rFonts w:hint="eastAsia" w:ascii="仿宋" w:hAnsi="仿宋" w:eastAsia="仿宋" w:cs="宋体"/>
          <w:color w:val="auto"/>
          <w:kern w:val="0"/>
          <w:sz w:val="32"/>
          <w:szCs w:val="32"/>
        </w:rPr>
        <w:t>，继续实施古籍文献及字画修复保护三年行动，集中修复一批重要古籍文献（字画），培养一批修复专业人才，数字化一批特色馆藏古籍文献。到2021年底，全省完成5405册古籍文献（字画）的修复，完成3929册古籍文献的数字化，培养古籍修复人才100名。</w:t>
      </w:r>
    </w:p>
    <w:p>
      <w:pPr>
        <w:spacing w:line="560" w:lineRule="exact"/>
        <w:ind w:firstLine="707" w:firstLineChars="221"/>
        <w:rPr>
          <w:rFonts w:ascii="仿宋" w:hAnsi="仿宋" w:eastAsia="仿宋"/>
          <w:color w:val="auto"/>
          <w:kern w:val="0"/>
          <w:sz w:val="32"/>
          <w:szCs w:val="32"/>
        </w:rPr>
      </w:pPr>
      <w:r>
        <w:rPr>
          <w:rFonts w:hint="eastAsia" w:ascii="仿宋" w:hAnsi="仿宋" w:eastAsia="仿宋"/>
          <w:bCs/>
          <w:color w:val="auto"/>
          <w:kern w:val="0"/>
          <w:sz w:val="32"/>
          <w:szCs w:val="32"/>
        </w:rPr>
        <w:t>10.古籍文献文创产品开发项目。</w:t>
      </w:r>
      <w:r>
        <w:rPr>
          <w:rFonts w:hint="eastAsia" w:ascii="仿宋" w:hAnsi="仿宋" w:eastAsia="仿宋"/>
          <w:color w:val="auto"/>
          <w:kern w:val="0"/>
          <w:sz w:val="32"/>
          <w:szCs w:val="32"/>
        </w:rPr>
        <w:t>积极推进省图书馆利用馆藏古籍文献，开展文化创意产品开发试点，全面总结、归纳提炼试点成果，形成可复制、可推广的试点经验，推动全省图书馆文化创意产品开发。到2022年，建立全省图书馆文化创意产品开发联盟，推动全省市（州）级以上图书馆参与文化创意产品开发。</w:t>
      </w:r>
    </w:p>
    <w:p>
      <w:pPr>
        <w:spacing w:line="560" w:lineRule="exact"/>
        <w:ind w:firstLine="707" w:firstLineChars="221"/>
        <w:rPr>
          <w:rFonts w:ascii="楷体" w:hAnsi="楷体" w:eastAsia="楷体" w:cs="仿宋_GB2312"/>
          <w:color w:val="auto"/>
          <w:sz w:val="32"/>
          <w:szCs w:val="32"/>
        </w:rPr>
      </w:pPr>
      <w:r>
        <w:rPr>
          <w:rFonts w:hint="eastAsia" w:ascii="楷体" w:hAnsi="楷体" w:eastAsia="楷体" w:cs="仿宋_GB2312"/>
          <w:color w:val="auto"/>
          <w:sz w:val="32"/>
          <w:szCs w:val="32"/>
        </w:rPr>
        <w:t>（五）人才队伍建设行动</w:t>
      </w:r>
    </w:p>
    <w:p>
      <w:pPr>
        <w:spacing w:line="560" w:lineRule="exact"/>
        <w:ind w:firstLine="707" w:firstLineChars="221"/>
        <w:rPr>
          <w:rFonts w:ascii="仿宋" w:hAnsi="仿宋" w:eastAsia="仿宋"/>
          <w:bCs/>
          <w:color w:val="auto"/>
          <w:kern w:val="0"/>
          <w:sz w:val="32"/>
          <w:szCs w:val="32"/>
        </w:rPr>
      </w:pPr>
      <w:r>
        <w:rPr>
          <w:rFonts w:hint="eastAsia" w:ascii="仿宋" w:hAnsi="仿宋" w:eastAsia="仿宋"/>
          <w:bCs/>
          <w:color w:val="auto"/>
          <w:kern w:val="0"/>
          <w:sz w:val="32"/>
          <w:szCs w:val="32"/>
        </w:rPr>
        <w:t>11.加强人才队伍培养。进一步完善选人用人机制，通过县、乡两级统筹和购买服务等方式解决人员不足问题。加强基层队伍建设，鼓励“三支一扶”大学毕业生、大学生村官、文化志愿者等专兼职从事图书室、农家书屋等管理服务工作。加强分级分类培训。以省图书馆为龙头，以基层为重点，联动市（州）、县（市、区）加强对图书馆管理人员、业务骨干和从业人员的培训，到2022年底，对县级以上公共图书馆工作人员轮训一遍。</w:t>
      </w:r>
    </w:p>
    <w:p>
      <w:pPr>
        <w:spacing w:line="560" w:lineRule="exact"/>
        <w:ind w:firstLine="707" w:firstLineChars="221"/>
        <w:rPr>
          <w:rFonts w:ascii="仿宋" w:hAnsi="仿宋" w:eastAsia="仿宋"/>
          <w:bCs/>
          <w:color w:val="auto"/>
          <w:kern w:val="0"/>
          <w:sz w:val="32"/>
          <w:szCs w:val="32"/>
        </w:rPr>
      </w:pPr>
      <w:r>
        <w:rPr>
          <w:rFonts w:hint="eastAsia" w:ascii="仿宋" w:hAnsi="仿宋" w:eastAsia="仿宋"/>
          <w:bCs/>
          <w:color w:val="auto"/>
          <w:kern w:val="0"/>
          <w:sz w:val="32"/>
          <w:szCs w:val="32"/>
        </w:rPr>
        <w:t>12.加强志愿者队伍建设。在省图书馆设立全省公共图书馆志愿服务支队，完善图书馆志愿者招募、管理评价和激励保障机制，制定公共图书馆志愿服务的相关标准和规范；鼓励各地探索具有地方或行业特色的图书馆志愿服务模式，提升志愿者的服务能力。</w:t>
      </w:r>
    </w:p>
    <w:p>
      <w:pPr>
        <w:spacing w:line="560" w:lineRule="exact"/>
        <w:ind w:firstLine="640" w:firstLineChars="200"/>
        <w:rPr>
          <w:rFonts w:ascii="楷体" w:hAnsi="楷体" w:eastAsia="楷体" w:cs="仿宋_GB2312"/>
          <w:color w:val="auto"/>
          <w:sz w:val="32"/>
          <w:szCs w:val="32"/>
        </w:rPr>
      </w:pPr>
      <w:r>
        <w:rPr>
          <w:rFonts w:hint="eastAsia" w:ascii="楷体" w:hAnsi="楷体" w:eastAsia="楷体" w:cs="仿宋_GB2312"/>
          <w:color w:val="auto"/>
          <w:sz w:val="32"/>
          <w:szCs w:val="32"/>
        </w:rPr>
        <w:t>（六）深化体制改革行动</w:t>
      </w:r>
    </w:p>
    <w:p>
      <w:pPr>
        <w:spacing w:line="560" w:lineRule="exact"/>
        <w:ind w:firstLine="707" w:firstLineChars="221"/>
        <w:rPr>
          <w:rFonts w:ascii="仿宋" w:hAnsi="仿宋" w:eastAsia="仿宋"/>
          <w:bCs/>
          <w:color w:val="auto"/>
          <w:kern w:val="0"/>
          <w:sz w:val="32"/>
          <w:szCs w:val="32"/>
        </w:rPr>
      </w:pPr>
      <w:r>
        <w:rPr>
          <w:rFonts w:hint="eastAsia" w:ascii="仿宋" w:hAnsi="仿宋" w:eastAsia="仿宋"/>
          <w:bCs/>
          <w:color w:val="auto"/>
          <w:kern w:val="0"/>
          <w:sz w:val="32"/>
          <w:szCs w:val="32"/>
        </w:rPr>
        <w:t>13.县级图书馆总分馆制试点。加快实施县级图书馆总分馆制建设，择优分批开展县级图书馆总分馆制试点，推动县（市、区）三级以上图书馆完成总分馆制建设。探索在县域内将农家书屋等纳入总分馆制体系，实现统一编目、统一配送、统一培训、统一管理、统一考核等“五个统一”，基本建立起上下联通、通借通还、服务优质、有效覆盖的县级公共图书馆总分馆制服务网络。</w:t>
      </w:r>
    </w:p>
    <w:p>
      <w:pPr>
        <w:spacing w:line="560" w:lineRule="exact"/>
        <w:ind w:firstLine="707" w:firstLineChars="221"/>
        <w:rPr>
          <w:rFonts w:ascii="仿宋" w:hAnsi="仿宋" w:eastAsia="仿宋"/>
          <w:bCs/>
          <w:color w:val="auto"/>
          <w:kern w:val="0"/>
          <w:sz w:val="32"/>
          <w:szCs w:val="32"/>
        </w:rPr>
      </w:pPr>
      <w:r>
        <w:rPr>
          <w:rFonts w:hint="eastAsia" w:ascii="仿宋" w:hAnsi="仿宋" w:eastAsia="仿宋"/>
          <w:bCs/>
          <w:color w:val="auto"/>
          <w:kern w:val="0"/>
          <w:sz w:val="32"/>
          <w:szCs w:val="32"/>
        </w:rPr>
        <w:t>14.法人治理结构改革试点。推动市（州）一级以上图书馆基本建成以理事会为主要形式的法人治理结构，落实法人自主权，健全决策、执行和监督机制。做到“理事组成社会化、运行管理开放化、管理约束制度化、理事活动常规化、文化服务多元化”。</w:t>
      </w:r>
    </w:p>
    <w:p>
      <w:pPr>
        <w:spacing w:line="560" w:lineRule="exact"/>
        <w:ind w:firstLine="707" w:firstLineChars="221"/>
        <w:rPr>
          <w:rFonts w:ascii="仿宋" w:hAnsi="仿宋" w:eastAsia="仿宋"/>
          <w:bCs/>
          <w:color w:val="auto"/>
          <w:kern w:val="0"/>
          <w:sz w:val="32"/>
          <w:szCs w:val="32"/>
        </w:rPr>
      </w:pPr>
      <w:r>
        <w:rPr>
          <w:rFonts w:hint="eastAsia" w:ascii="仿宋" w:hAnsi="仿宋" w:eastAsia="仿宋"/>
          <w:bCs/>
          <w:color w:val="auto"/>
          <w:kern w:val="0"/>
          <w:sz w:val="32"/>
          <w:szCs w:val="32"/>
        </w:rPr>
        <w:t>15.政府购买公共图书馆运营服务。推进政府向社会力量购买公共图书馆运营服务，通过政府购买公共图书馆职能运行、业务管理、设施设备管理及维护、人员招募及管理等，有效提升公共图书馆资源利用效率，创新服务方式，增强公共图书馆活力，促使政府职能转变，促进文化类社会组织的发展。</w:t>
      </w:r>
    </w:p>
    <w:p>
      <w:pPr>
        <w:spacing w:line="560" w:lineRule="exact"/>
        <w:ind w:firstLine="707" w:firstLineChars="221"/>
        <w:rPr>
          <w:rFonts w:ascii="仿宋" w:hAnsi="仿宋" w:eastAsia="仿宋"/>
          <w:bCs/>
          <w:color w:val="auto"/>
          <w:kern w:val="0"/>
          <w:sz w:val="32"/>
          <w:szCs w:val="32"/>
        </w:rPr>
      </w:pPr>
      <w:r>
        <w:rPr>
          <w:rFonts w:hint="eastAsia" w:ascii="仿宋" w:hAnsi="仿宋" w:eastAsia="仿宋"/>
          <w:bCs/>
          <w:color w:val="auto"/>
          <w:kern w:val="0"/>
          <w:sz w:val="32"/>
          <w:szCs w:val="32"/>
        </w:rPr>
        <w:t>16.公共图书馆文旅融合发展工程。以公共图书馆特色馆藏资源为基础，与当地旅游资源相结合，打造一批文旅融合的项目，鼓励在A级景区、旅游度假区、生态旅游示范区率先试点建立特色分馆、全民阅读流动服务设施，为游客和当地居民提供阅读服务。</w:t>
      </w:r>
    </w:p>
    <w:p>
      <w:pPr>
        <w:spacing w:line="560" w:lineRule="exact"/>
        <w:ind w:firstLine="640"/>
        <w:rPr>
          <w:rFonts w:ascii="仿宋" w:hAnsi="仿宋" w:eastAsia="仿宋" w:cs="仿宋_GB2312"/>
          <w:color w:val="auto"/>
          <w:szCs w:val="32"/>
        </w:rPr>
      </w:pPr>
    </w:p>
    <w:p>
      <w:pPr>
        <w:spacing w:line="560" w:lineRule="exact"/>
        <w:jc w:val="left"/>
        <w:rPr>
          <w:rFonts w:ascii="黑体" w:hAnsi="黑体" w:eastAsia="黑体" w:cs="仿宋_GB2312"/>
          <w:bCs/>
          <w:color w:val="auto"/>
          <w:szCs w:val="32"/>
        </w:rPr>
        <w:sectPr>
          <w:pgSz w:w="11907" w:h="16840"/>
          <w:pgMar w:top="2098" w:right="1474" w:bottom="1984" w:left="1587" w:header="851" w:footer="992" w:gutter="0"/>
          <w:cols w:space="425" w:num="1"/>
          <w:docGrid w:type="linesAndChars" w:linePitch="582" w:charSpace="0"/>
        </w:sectPr>
      </w:pPr>
    </w:p>
    <w:p>
      <w:pPr>
        <w:spacing w:line="560" w:lineRule="exact"/>
        <w:jc w:val="left"/>
        <w:rPr>
          <w:rFonts w:ascii="黑体" w:hAnsi="黑体" w:eastAsia="黑体" w:cs="仿宋_GB2312"/>
          <w:bCs/>
          <w:color w:val="auto"/>
          <w:sz w:val="32"/>
          <w:szCs w:val="32"/>
        </w:rPr>
      </w:pPr>
      <w:r>
        <w:rPr>
          <w:rFonts w:hint="eastAsia" w:ascii="黑体" w:hAnsi="黑体" w:eastAsia="黑体" w:cs="仿宋_GB2312"/>
          <w:bCs/>
          <w:color w:val="auto"/>
          <w:sz w:val="32"/>
          <w:szCs w:val="32"/>
        </w:rPr>
        <w:t>附件</w:t>
      </w:r>
    </w:p>
    <w:p>
      <w:pPr>
        <w:spacing w:beforeLines="50" w:afterLines="50" w:line="560" w:lineRule="exact"/>
        <w:jc w:val="center"/>
        <w:rPr>
          <w:rFonts w:ascii="方正小标宋简体" w:hAnsi="仿宋" w:eastAsia="方正小标宋简体" w:cs="仿宋_GB2312"/>
          <w:bCs/>
          <w:color w:val="auto"/>
          <w:sz w:val="44"/>
          <w:szCs w:val="44"/>
        </w:rPr>
      </w:pPr>
      <w:r>
        <w:rPr>
          <w:rFonts w:hint="eastAsia" w:ascii="方正小标宋简体" w:hAnsi="仿宋" w:eastAsia="方正小标宋简体" w:cs="仿宋_GB2312"/>
          <w:bCs/>
          <w:color w:val="auto"/>
          <w:sz w:val="44"/>
          <w:szCs w:val="44"/>
        </w:rPr>
        <w:t>全省公共图书馆效能提升行动主要指标</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870"/>
        <w:gridCol w:w="2612"/>
        <w:gridCol w:w="968"/>
        <w:gridCol w:w="1165"/>
        <w:gridCol w:w="1167"/>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61" w:type="dxa"/>
            <w:vAlign w:val="center"/>
          </w:tcPr>
          <w:p>
            <w:pPr>
              <w:spacing w:line="480" w:lineRule="exact"/>
              <w:jc w:val="center"/>
              <w:rPr>
                <w:rFonts w:ascii="黑体" w:hAnsi="黑体" w:eastAsia="黑体" w:cs="黑体"/>
                <w:color w:val="auto"/>
                <w:sz w:val="28"/>
                <w:szCs w:val="28"/>
              </w:rPr>
            </w:pPr>
            <w:r>
              <w:rPr>
                <w:rFonts w:hint="eastAsia" w:ascii="黑体" w:hAnsi="黑体" w:eastAsia="黑体" w:cs="黑体"/>
                <w:color w:val="auto"/>
                <w:sz w:val="28"/>
                <w:szCs w:val="28"/>
              </w:rPr>
              <w:t>类别</w:t>
            </w:r>
          </w:p>
        </w:tc>
        <w:tc>
          <w:tcPr>
            <w:tcW w:w="870" w:type="dxa"/>
            <w:vAlign w:val="center"/>
          </w:tcPr>
          <w:p>
            <w:pPr>
              <w:spacing w:line="480" w:lineRule="exact"/>
              <w:jc w:val="center"/>
              <w:rPr>
                <w:rFonts w:ascii="黑体" w:hAnsi="黑体" w:eastAsia="黑体" w:cs="黑体"/>
                <w:color w:val="auto"/>
                <w:sz w:val="28"/>
                <w:szCs w:val="28"/>
              </w:rPr>
            </w:pPr>
            <w:r>
              <w:rPr>
                <w:rFonts w:hint="eastAsia" w:ascii="黑体" w:hAnsi="黑体" w:eastAsia="黑体" w:cs="黑体"/>
                <w:color w:val="auto"/>
                <w:sz w:val="28"/>
                <w:szCs w:val="28"/>
              </w:rPr>
              <w:t>序号</w:t>
            </w:r>
          </w:p>
        </w:tc>
        <w:tc>
          <w:tcPr>
            <w:tcW w:w="2612" w:type="dxa"/>
            <w:vAlign w:val="center"/>
          </w:tcPr>
          <w:p>
            <w:pPr>
              <w:spacing w:line="480" w:lineRule="exact"/>
              <w:jc w:val="center"/>
              <w:rPr>
                <w:rFonts w:ascii="黑体" w:hAnsi="黑体" w:eastAsia="黑体" w:cs="黑体"/>
                <w:color w:val="auto"/>
                <w:sz w:val="28"/>
                <w:szCs w:val="28"/>
              </w:rPr>
            </w:pPr>
            <w:r>
              <w:rPr>
                <w:rFonts w:hint="eastAsia" w:ascii="黑体" w:hAnsi="黑体" w:eastAsia="黑体" w:cs="黑体"/>
                <w:color w:val="auto"/>
                <w:sz w:val="28"/>
                <w:szCs w:val="28"/>
              </w:rPr>
              <w:t>主要指标</w:t>
            </w:r>
          </w:p>
        </w:tc>
        <w:tc>
          <w:tcPr>
            <w:tcW w:w="968" w:type="dxa"/>
            <w:vAlign w:val="center"/>
          </w:tcPr>
          <w:p>
            <w:pPr>
              <w:spacing w:line="480" w:lineRule="exact"/>
              <w:jc w:val="center"/>
              <w:rPr>
                <w:rFonts w:ascii="黑体" w:hAnsi="黑体" w:eastAsia="黑体" w:cs="黑体"/>
                <w:color w:val="auto"/>
                <w:sz w:val="28"/>
                <w:szCs w:val="28"/>
              </w:rPr>
            </w:pPr>
            <w:r>
              <w:rPr>
                <w:rFonts w:hint="eastAsia" w:ascii="黑体" w:hAnsi="黑体" w:eastAsia="黑体" w:cs="黑体"/>
                <w:color w:val="auto"/>
                <w:sz w:val="28"/>
                <w:szCs w:val="28"/>
              </w:rPr>
              <w:t>单位</w:t>
            </w:r>
          </w:p>
        </w:tc>
        <w:tc>
          <w:tcPr>
            <w:tcW w:w="1165" w:type="dxa"/>
            <w:vAlign w:val="center"/>
          </w:tcPr>
          <w:p>
            <w:pPr>
              <w:spacing w:line="480" w:lineRule="exact"/>
              <w:jc w:val="center"/>
              <w:rPr>
                <w:rFonts w:ascii="黑体" w:hAnsi="黑体" w:eastAsia="黑体" w:cs="黑体"/>
                <w:color w:val="auto"/>
                <w:sz w:val="28"/>
                <w:szCs w:val="28"/>
              </w:rPr>
            </w:pPr>
            <w:r>
              <w:rPr>
                <w:rFonts w:ascii="黑体" w:hAnsi="黑体" w:eastAsia="黑体" w:cs="黑体"/>
                <w:color w:val="auto"/>
                <w:sz w:val="28"/>
                <w:szCs w:val="28"/>
              </w:rPr>
              <w:t>201</w:t>
            </w:r>
            <w:r>
              <w:rPr>
                <w:rFonts w:hint="eastAsia" w:ascii="黑体" w:hAnsi="黑体" w:eastAsia="黑体" w:cs="黑体"/>
                <w:color w:val="auto"/>
                <w:sz w:val="28"/>
                <w:szCs w:val="28"/>
              </w:rPr>
              <w:t>8年</w:t>
            </w:r>
          </w:p>
        </w:tc>
        <w:tc>
          <w:tcPr>
            <w:tcW w:w="1167" w:type="dxa"/>
            <w:vAlign w:val="center"/>
          </w:tcPr>
          <w:p>
            <w:pPr>
              <w:spacing w:line="480" w:lineRule="exact"/>
              <w:jc w:val="center"/>
              <w:rPr>
                <w:rFonts w:ascii="黑体" w:hAnsi="黑体" w:eastAsia="黑体" w:cs="黑体"/>
                <w:color w:val="auto"/>
                <w:sz w:val="28"/>
                <w:szCs w:val="28"/>
              </w:rPr>
            </w:pPr>
            <w:r>
              <w:rPr>
                <w:rFonts w:ascii="黑体" w:hAnsi="黑体" w:eastAsia="黑体" w:cs="黑体"/>
                <w:color w:val="auto"/>
                <w:sz w:val="28"/>
                <w:szCs w:val="28"/>
              </w:rPr>
              <w:t>202</w:t>
            </w:r>
            <w:r>
              <w:rPr>
                <w:rFonts w:hint="eastAsia" w:ascii="黑体" w:hAnsi="黑体" w:eastAsia="黑体" w:cs="黑体"/>
                <w:color w:val="auto"/>
                <w:sz w:val="28"/>
                <w:szCs w:val="28"/>
              </w:rPr>
              <w:t>2年</w:t>
            </w:r>
          </w:p>
        </w:tc>
        <w:tc>
          <w:tcPr>
            <w:tcW w:w="1437" w:type="dxa"/>
            <w:vAlign w:val="center"/>
          </w:tcPr>
          <w:p>
            <w:pPr>
              <w:spacing w:line="480" w:lineRule="exact"/>
              <w:jc w:val="center"/>
              <w:rPr>
                <w:rFonts w:ascii="黑体" w:hAnsi="黑体" w:eastAsia="黑体" w:cs="黑体"/>
                <w:color w:val="auto"/>
                <w:sz w:val="28"/>
                <w:szCs w:val="28"/>
              </w:rPr>
            </w:pPr>
            <w:r>
              <w:rPr>
                <w:rFonts w:hint="eastAsia" w:ascii="黑体" w:hAnsi="黑体" w:eastAsia="黑体" w:cs="黑体"/>
                <w:color w:val="auto"/>
                <w:sz w:val="28"/>
                <w:szCs w:val="28"/>
              </w:rPr>
              <w:t>增幅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961" w:type="dxa"/>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综合</w:t>
            </w:r>
          </w:p>
        </w:tc>
        <w:tc>
          <w:tcPr>
            <w:tcW w:w="870" w:type="dxa"/>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1</w:t>
            </w:r>
          </w:p>
        </w:tc>
        <w:tc>
          <w:tcPr>
            <w:tcW w:w="2612" w:type="dxa"/>
            <w:vAlign w:val="center"/>
          </w:tcPr>
          <w:p>
            <w:pPr>
              <w:spacing w:line="480" w:lineRule="exact"/>
              <w:rPr>
                <w:rFonts w:ascii="仿宋" w:hAnsi="仿宋" w:eastAsia="仿宋" w:cs="仿宋_GB2312"/>
                <w:color w:val="auto"/>
                <w:sz w:val="28"/>
                <w:szCs w:val="28"/>
              </w:rPr>
            </w:pPr>
            <w:r>
              <w:rPr>
                <w:rFonts w:hint="eastAsia" w:ascii="仿宋" w:hAnsi="仿宋" w:eastAsia="仿宋" w:cs="仿宋_GB2312"/>
                <w:color w:val="auto"/>
                <w:sz w:val="28"/>
                <w:szCs w:val="28"/>
              </w:rPr>
              <w:t>上等级图书馆数量</w:t>
            </w:r>
          </w:p>
        </w:tc>
        <w:tc>
          <w:tcPr>
            <w:tcW w:w="968" w:type="dxa"/>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个</w:t>
            </w:r>
          </w:p>
        </w:tc>
        <w:tc>
          <w:tcPr>
            <w:tcW w:w="1165" w:type="dxa"/>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143</w:t>
            </w:r>
          </w:p>
        </w:tc>
        <w:tc>
          <w:tcPr>
            <w:tcW w:w="1167" w:type="dxa"/>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165</w:t>
            </w:r>
          </w:p>
        </w:tc>
        <w:tc>
          <w:tcPr>
            <w:tcW w:w="1437" w:type="dxa"/>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15.38%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961" w:type="dxa"/>
            <w:vMerge w:val="restart"/>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资源</w:t>
            </w:r>
          </w:p>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建设</w:t>
            </w:r>
          </w:p>
        </w:tc>
        <w:tc>
          <w:tcPr>
            <w:tcW w:w="870" w:type="dxa"/>
            <w:vAlign w:val="center"/>
          </w:tcPr>
          <w:p>
            <w:pPr>
              <w:spacing w:line="480" w:lineRule="exact"/>
              <w:jc w:val="center"/>
              <w:rPr>
                <w:rFonts w:ascii="仿宋" w:hAnsi="仿宋" w:eastAsia="仿宋" w:cs="仿宋_GB2312"/>
                <w:color w:val="auto"/>
                <w:sz w:val="28"/>
                <w:szCs w:val="28"/>
              </w:rPr>
            </w:pPr>
            <w:bookmarkStart w:id="0" w:name="_Hlk14647738"/>
            <w:r>
              <w:rPr>
                <w:rFonts w:hint="eastAsia" w:ascii="仿宋" w:hAnsi="仿宋" w:eastAsia="仿宋" w:cs="仿宋_GB2312"/>
                <w:color w:val="auto"/>
                <w:sz w:val="28"/>
                <w:szCs w:val="28"/>
              </w:rPr>
              <w:t>2</w:t>
            </w:r>
          </w:p>
        </w:tc>
        <w:tc>
          <w:tcPr>
            <w:tcW w:w="2612" w:type="dxa"/>
            <w:vAlign w:val="center"/>
          </w:tcPr>
          <w:p>
            <w:pPr>
              <w:spacing w:line="480" w:lineRule="exact"/>
              <w:rPr>
                <w:rFonts w:ascii="仿宋" w:hAnsi="仿宋" w:eastAsia="仿宋" w:cs="仿宋_GB2312"/>
                <w:color w:val="auto"/>
                <w:sz w:val="28"/>
                <w:szCs w:val="28"/>
              </w:rPr>
            </w:pPr>
            <w:r>
              <w:rPr>
                <w:rFonts w:hint="eastAsia" w:ascii="仿宋" w:hAnsi="仿宋" w:eastAsia="仿宋" w:cs="仿宋_GB2312"/>
                <w:color w:val="auto"/>
                <w:sz w:val="28"/>
                <w:szCs w:val="28"/>
              </w:rPr>
              <w:t>人均公共图书馆藏量</w:t>
            </w:r>
            <w:bookmarkEnd w:id="0"/>
            <w:r>
              <w:rPr>
                <w:rFonts w:hint="eastAsia" w:ascii="仿宋" w:hAnsi="仿宋" w:eastAsia="仿宋" w:cs="仿宋_GB2312"/>
                <w:color w:val="auto"/>
                <w:sz w:val="28"/>
                <w:szCs w:val="28"/>
              </w:rPr>
              <w:t>（含分馆）</w:t>
            </w:r>
          </w:p>
        </w:tc>
        <w:tc>
          <w:tcPr>
            <w:tcW w:w="968" w:type="dxa"/>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册</w:t>
            </w:r>
            <w:r>
              <w:rPr>
                <w:rFonts w:ascii="仿宋" w:hAnsi="仿宋" w:eastAsia="仿宋" w:cs="仿宋_GB2312"/>
                <w:color w:val="auto"/>
                <w:sz w:val="28"/>
                <w:szCs w:val="28"/>
              </w:rPr>
              <w:t>/</w:t>
            </w:r>
            <w:r>
              <w:rPr>
                <w:rFonts w:hint="eastAsia" w:ascii="仿宋" w:hAnsi="仿宋" w:eastAsia="仿宋" w:cs="仿宋_GB2312"/>
                <w:color w:val="auto"/>
                <w:sz w:val="28"/>
                <w:szCs w:val="28"/>
              </w:rPr>
              <w:t>件</w:t>
            </w:r>
          </w:p>
        </w:tc>
        <w:tc>
          <w:tcPr>
            <w:tcW w:w="1165" w:type="dxa"/>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0.</w:t>
            </w:r>
            <w:r>
              <w:rPr>
                <w:rFonts w:ascii="仿宋" w:hAnsi="仿宋" w:eastAsia="仿宋" w:cs="仿宋_GB2312"/>
                <w:color w:val="auto"/>
                <w:sz w:val="28"/>
                <w:szCs w:val="28"/>
              </w:rPr>
              <w:t>47</w:t>
            </w:r>
          </w:p>
        </w:tc>
        <w:tc>
          <w:tcPr>
            <w:tcW w:w="1167" w:type="dxa"/>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1.0</w:t>
            </w:r>
          </w:p>
        </w:tc>
        <w:tc>
          <w:tcPr>
            <w:tcW w:w="1437" w:type="dxa"/>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112.77%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1" w:type="dxa"/>
            <w:vMerge w:val="continue"/>
            <w:vAlign w:val="center"/>
          </w:tcPr>
          <w:p>
            <w:pPr>
              <w:spacing w:line="480" w:lineRule="exact"/>
              <w:jc w:val="center"/>
              <w:rPr>
                <w:rFonts w:ascii="仿宋" w:hAnsi="仿宋" w:eastAsia="仿宋" w:cs="仿宋_GB2312"/>
                <w:color w:val="auto"/>
                <w:sz w:val="28"/>
                <w:szCs w:val="28"/>
              </w:rPr>
            </w:pPr>
          </w:p>
        </w:tc>
        <w:tc>
          <w:tcPr>
            <w:tcW w:w="870" w:type="dxa"/>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3</w:t>
            </w:r>
          </w:p>
        </w:tc>
        <w:tc>
          <w:tcPr>
            <w:tcW w:w="2612" w:type="dxa"/>
            <w:vAlign w:val="center"/>
          </w:tcPr>
          <w:p>
            <w:pPr>
              <w:spacing w:line="480" w:lineRule="exact"/>
              <w:rPr>
                <w:rFonts w:ascii="仿宋" w:hAnsi="仿宋" w:eastAsia="仿宋" w:cs="仿宋_GB2312"/>
                <w:color w:val="auto"/>
                <w:sz w:val="28"/>
                <w:szCs w:val="28"/>
              </w:rPr>
            </w:pPr>
            <w:r>
              <w:rPr>
                <w:rFonts w:hint="eastAsia" w:ascii="仿宋" w:hAnsi="仿宋" w:eastAsia="仿宋" w:cs="仿宋_GB2312"/>
                <w:color w:val="auto"/>
                <w:sz w:val="28"/>
                <w:szCs w:val="28"/>
              </w:rPr>
              <w:t>年人均新增藏量</w:t>
            </w:r>
          </w:p>
        </w:tc>
        <w:tc>
          <w:tcPr>
            <w:tcW w:w="968" w:type="dxa"/>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册/件</w:t>
            </w:r>
          </w:p>
        </w:tc>
        <w:tc>
          <w:tcPr>
            <w:tcW w:w="1165" w:type="dxa"/>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0.02</w:t>
            </w:r>
          </w:p>
        </w:tc>
        <w:tc>
          <w:tcPr>
            <w:tcW w:w="1167" w:type="dxa"/>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0.05</w:t>
            </w:r>
          </w:p>
        </w:tc>
        <w:tc>
          <w:tcPr>
            <w:tcW w:w="1437" w:type="dxa"/>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2" w:hRule="atLeast"/>
          <w:jc w:val="center"/>
        </w:trPr>
        <w:tc>
          <w:tcPr>
            <w:tcW w:w="961" w:type="dxa"/>
            <w:vMerge w:val="restart"/>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设施</w:t>
            </w:r>
          </w:p>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设备</w:t>
            </w:r>
          </w:p>
        </w:tc>
        <w:tc>
          <w:tcPr>
            <w:tcW w:w="870" w:type="dxa"/>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4</w:t>
            </w:r>
          </w:p>
        </w:tc>
        <w:tc>
          <w:tcPr>
            <w:tcW w:w="2612" w:type="dxa"/>
            <w:vAlign w:val="center"/>
          </w:tcPr>
          <w:p>
            <w:pPr>
              <w:spacing w:line="480" w:lineRule="exact"/>
              <w:rPr>
                <w:rFonts w:ascii="仿宋" w:hAnsi="仿宋" w:eastAsia="仿宋" w:cs="仿宋_GB2312"/>
                <w:color w:val="auto"/>
                <w:sz w:val="28"/>
                <w:szCs w:val="28"/>
              </w:rPr>
            </w:pPr>
            <w:r>
              <w:rPr>
                <w:rFonts w:hint="eastAsia" w:ascii="仿宋" w:hAnsi="仿宋" w:eastAsia="仿宋" w:cs="仿宋_GB2312"/>
                <w:color w:val="auto"/>
                <w:sz w:val="28"/>
                <w:szCs w:val="28"/>
              </w:rPr>
              <w:t>每万人公共图书馆建筑面积</w:t>
            </w:r>
          </w:p>
        </w:tc>
        <w:tc>
          <w:tcPr>
            <w:tcW w:w="968" w:type="dxa"/>
            <w:vAlign w:val="center"/>
          </w:tcPr>
          <w:p>
            <w:pPr>
              <w:spacing w:line="480" w:lineRule="exact"/>
              <w:jc w:val="center"/>
              <w:rPr>
                <w:rFonts w:ascii="仿宋" w:hAnsi="仿宋" w:eastAsia="仿宋"/>
                <w:color w:val="auto"/>
                <w:sz w:val="28"/>
                <w:szCs w:val="28"/>
              </w:rPr>
            </w:pPr>
            <w:r>
              <w:rPr>
                <w:rFonts w:hint="eastAsia" w:ascii="仿宋" w:hAnsi="仿宋" w:eastAsia="仿宋"/>
                <w:color w:val="auto"/>
                <w:sz w:val="28"/>
                <w:szCs w:val="28"/>
              </w:rPr>
              <w:t>平方米</w:t>
            </w:r>
          </w:p>
        </w:tc>
        <w:tc>
          <w:tcPr>
            <w:tcW w:w="1165" w:type="dxa"/>
            <w:vAlign w:val="center"/>
          </w:tcPr>
          <w:p>
            <w:pPr>
              <w:spacing w:line="480" w:lineRule="exact"/>
              <w:jc w:val="center"/>
              <w:rPr>
                <w:rFonts w:ascii="仿宋" w:hAnsi="仿宋" w:eastAsia="仿宋"/>
                <w:color w:val="auto"/>
                <w:sz w:val="28"/>
                <w:szCs w:val="28"/>
              </w:rPr>
            </w:pPr>
            <w:r>
              <w:rPr>
                <w:rFonts w:hint="eastAsia" w:ascii="仿宋" w:hAnsi="仿宋" w:eastAsia="仿宋"/>
                <w:color w:val="auto"/>
                <w:sz w:val="28"/>
                <w:szCs w:val="28"/>
              </w:rPr>
              <w:t>79.21</w:t>
            </w:r>
          </w:p>
        </w:tc>
        <w:tc>
          <w:tcPr>
            <w:tcW w:w="1167" w:type="dxa"/>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95</w:t>
            </w:r>
          </w:p>
        </w:tc>
        <w:tc>
          <w:tcPr>
            <w:tcW w:w="1437" w:type="dxa"/>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1" w:type="dxa"/>
            <w:vMerge w:val="continue"/>
            <w:vAlign w:val="center"/>
          </w:tcPr>
          <w:p>
            <w:pPr>
              <w:spacing w:line="480" w:lineRule="exact"/>
              <w:jc w:val="center"/>
              <w:rPr>
                <w:rFonts w:ascii="仿宋" w:hAnsi="仿宋" w:eastAsia="仿宋" w:cs="仿宋_GB2312"/>
                <w:color w:val="auto"/>
                <w:sz w:val="28"/>
                <w:szCs w:val="28"/>
              </w:rPr>
            </w:pPr>
          </w:p>
        </w:tc>
        <w:tc>
          <w:tcPr>
            <w:tcW w:w="870" w:type="dxa"/>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5</w:t>
            </w:r>
          </w:p>
        </w:tc>
        <w:tc>
          <w:tcPr>
            <w:tcW w:w="2612" w:type="dxa"/>
            <w:vAlign w:val="center"/>
          </w:tcPr>
          <w:p>
            <w:pPr>
              <w:spacing w:line="480" w:lineRule="exact"/>
              <w:rPr>
                <w:rFonts w:ascii="仿宋" w:hAnsi="仿宋" w:eastAsia="仿宋" w:cs="仿宋_GB2312"/>
                <w:color w:val="auto"/>
                <w:sz w:val="28"/>
                <w:szCs w:val="28"/>
              </w:rPr>
            </w:pPr>
            <w:r>
              <w:rPr>
                <w:rFonts w:hint="eastAsia" w:ascii="仿宋" w:hAnsi="仿宋" w:eastAsia="仿宋" w:cs="仿宋_GB2312"/>
                <w:color w:val="auto"/>
                <w:sz w:val="28"/>
                <w:szCs w:val="28"/>
              </w:rPr>
              <w:t>阅览室坐席数</w:t>
            </w:r>
          </w:p>
        </w:tc>
        <w:tc>
          <w:tcPr>
            <w:tcW w:w="968" w:type="dxa"/>
            <w:vAlign w:val="center"/>
          </w:tcPr>
          <w:p>
            <w:pPr>
              <w:spacing w:line="480" w:lineRule="exact"/>
              <w:jc w:val="center"/>
              <w:rPr>
                <w:rFonts w:ascii="仿宋" w:hAnsi="仿宋" w:eastAsia="仿宋"/>
                <w:color w:val="auto"/>
                <w:sz w:val="28"/>
                <w:szCs w:val="28"/>
              </w:rPr>
            </w:pPr>
            <w:r>
              <w:rPr>
                <w:rFonts w:hint="eastAsia" w:ascii="仿宋" w:hAnsi="仿宋" w:eastAsia="仿宋"/>
                <w:color w:val="auto"/>
                <w:sz w:val="28"/>
                <w:szCs w:val="28"/>
              </w:rPr>
              <w:t>万个</w:t>
            </w:r>
          </w:p>
        </w:tc>
        <w:tc>
          <w:tcPr>
            <w:tcW w:w="1165" w:type="dxa"/>
            <w:vAlign w:val="center"/>
          </w:tcPr>
          <w:p>
            <w:pPr>
              <w:spacing w:line="480" w:lineRule="exact"/>
              <w:jc w:val="center"/>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78</w:t>
            </w:r>
          </w:p>
        </w:tc>
        <w:tc>
          <w:tcPr>
            <w:tcW w:w="1167" w:type="dxa"/>
            <w:vAlign w:val="center"/>
          </w:tcPr>
          <w:p>
            <w:pPr>
              <w:spacing w:line="480" w:lineRule="exact"/>
              <w:jc w:val="center"/>
              <w:rPr>
                <w:rFonts w:ascii="仿宋" w:hAnsi="仿宋" w:eastAsia="仿宋" w:cs="仿宋_GB2312"/>
                <w:color w:val="auto"/>
                <w:sz w:val="28"/>
                <w:szCs w:val="28"/>
              </w:rPr>
            </w:pPr>
            <w:r>
              <w:rPr>
                <w:rFonts w:ascii="仿宋" w:hAnsi="仿宋" w:eastAsia="仿宋" w:cs="仿宋_GB2312"/>
                <w:color w:val="auto"/>
                <w:sz w:val="28"/>
                <w:szCs w:val="28"/>
              </w:rPr>
              <w:t>6.</w:t>
            </w:r>
            <w:r>
              <w:rPr>
                <w:rFonts w:hint="eastAsia" w:ascii="仿宋" w:hAnsi="仿宋" w:eastAsia="仿宋" w:cs="仿宋_GB2312"/>
                <w:color w:val="auto"/>
                <w:sz w:val="28"/>
                <w:szCs w:val="28"/>
              </w:rPr>
              <w:t>6</w:t>
            </w:r>
          </w:p>
        </w:tc>
        <w:tc>
          <w:tcPr>
            <w:tcW w:w="1437" w:type="dxa"/>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14.19%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2" w:hRule="atLeast"/>
          <w:jc w:val="center"/>
        </w:trPr>
        <w:tc>
          <w:tcPr>
            <w:tcW w:w="961" w:type="dxa"/>
            <w:vMerge w:val="restart"/>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服务</w:t>
            </w:r>
          </w:p>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效能</w:t>
            </w:r>
          </w:p>
        </w:tc>
        <w:tc>
          <w:tcPr>
            <w:tcW w:w="870" w:type="dxa"/>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6</w:t>
            </w:r>
          </w:p>
        </w:tc>
        <w:tc>
          <w:tcPr>
            <w:tcW w:w="2612" w:type="dxa"/>
            <w:vAlign w:val="center"/>
          </w:tcPr>
          <w:p>
            <w:pPr>
              <w:spacing w:line="480" w:lineRule="exact"/>
              <w:rPr>
                <w:rFonts w:ascii="仿宋" w:hAnsi="仿宋" w:eastAsia="仿宋" w:cs="仿宋_GB2312"/>
                <w:color w:val="auto"/>
                <w:sz w:val="28"/>
                <w:szCs w:val="28"/>
              </w:rPr>
            </w:pPr>
            <w:r>
              <w:rPr>
                <w:rFonts w:hint="eastAsia" w:ascii="仿宋" w:hAnsi="仿宋" w:eastAsia="仿宋" w:cs="仿宋_GB2312"/>
                <w:color w:val="auto"/>
                <w:sz w:val="28"/>
                <w:szCs w:val="28"/>
              </w:rPr>
              <w:t>年流通人次</w:t>
            </w:r>
          </w:p>
        </w:tc>
        <w:tc>
          <w:tcPr>
            <w:tcW w:w="968" w:type="dxa"/>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万人次</w:t>
            </w:r>
          </w:p>
        </w:tc>
        <w:tc>
          <w:tcPr>
            <w:tcW w:w="1165" w:type="dxa"/>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2562</w:t>
            </w:r>
          </w:p>
        </w:tc>
        <w:tc>
          <w:tcPr>
            <w:tcW w:w="1167" w:type="dxa"/>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4</w:t>
            </w:r>
            <w:r>
              <w:rPr>
                <w:rFonts w:ascii="仿宋" w:hAnsi="仿宋" w:eastAsia="仿宋" w:cs="仿宋_GB2312"/>
                <w:color w:val="auto"/>
                <w:sz w:val="28"/>
                <w:szCs w:val="28"/>
              </w:rPr>
              <w:t>000</w:t>
            </w:r>
          </w:p>
        </w:tc>
        <w:tc>
          <w:tcPr>
            <w:tcW w:w="1437" w:type="dxa"/>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56.13%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961" w:type="dxa"/>
            <w:vMerge w:val="continue"/>
            <w:vAlign w:val="center"/>
          </w:tcPr>
          <w:p>
            <w:pPr>
              <w:spacing w:line="480" w:lineRule="exact"/>
              <w:jc w:val="center"/>
              <w:rPr>
                <w:rFonts w:ascii="仿宋" w:hAnsi="仿宋" w:eastAsia="仿宋" w:cs="仿宋_GB2312"/>
                <w:color w:val="auto"/>
                <w:sz w:val="28"/>
                <w:szCs w:val="28"/>
              </w:rPr>
            </w:pPr>
          </w:p>
        </w:tc>
        <w:tc>
          <w:tcPr>
            <w:tcW w:w="870" w:type="dxa"/>
            <w:vAlign w:val="center"/>
          </w:tcPr>
          <w:p>
            <w:pPr>
              <w:spacing w:line="480" w:lineRule="exact"/>
              <w:jc w:val="center"/>
              <w:rPr>
                <w:rFonts w:ascii="仿宋" w:hAnsi="仿宋" w:eastAsia="仿宋" w:cs="仿宋_GB2312"/>
                <w:color w:val="auto"/>
                <w:sz w:val="28"/>
                <w:szCs w:val="28"/>
              </w:rPr>
            </w:pPr>
            <w:bookmarkStart w:id="1" w:name="_Hlk14647883"/>
            <w:r>
              <w:rPr>
                <w:rFonts w:hint="eastAsia" w:ascii="仿宋" w:hAnsi="仿宋" w:eastAsia="仿宋" w:cs="仿宋_GB2312"/>
                <w:color w:val="auto"/>
                <w:sz w:val="28"/>
                <w:szCs w:val="28"/>
              </w:rPr>
              <w:t>7</w:t>
            </w:r>
          </w:p>
        </w:tc>
        <w:tc>
          <w:tcPr>
            <w:tcW w:w="2612" w:type="dxa"/>
            <w:vAlign w:val="center"/>
          </w:tcPr>
          <w:p>
            <w:pPr>
              <w:spacing w:line="480" w:lineRule="exact"/>
              <w:rPr>
                <w:rFonts w:ascii="仿宋" w:hAnsi="仿宋" w:eastAsia="仿宋" w:cs="仿宋_GB2312"/>
                <w:color w:val="auto"/>
                <w:sz w:val="28"/>
                <w:szCs w:val="28"/>
              </w:rPr>
            </w:pPr>
            <w:r>
              <w:rPr>
                <w:rFonts w:hint="eastAsia" w:ascii="仿宋" w:hAnsi="仿宋" w:eastAsia="仿宋" w:cs="仿宋_GB2312"/>
                <w:color w:val="auto"/>
                <w:sz w:val="28"/>
                <w:szCs w:val="28"/>
              </w:rPr>
              <w:t>文献外借册次</w:t>
            </w:r>
            <w:bookmarkEnd w:id="1"/>
          </w:p>
        </w:tc>
        <w:tc>
          <w:tcPr>
            <w:tcW w:w="968" w:type="dxa"/>
            <w:vAlign w:val="center"/>
          </w:tcPr>
          <w:p>
            <w:pPr>
              <w:spacing w:line="480" w:lineRule="exact"/>
              <w:jc w:val="center"/>
              <w:rPr>
                <w:rFonts w:ascii="仿宋" w:hAnsi="仿宋" w:eastAsia="仿宋"/>
                <w:color w:val="auto"/>
                <w:sz w:val="28"/>
                <w:szCs w:val="28"/>
              </w:rPr>
            </w:pPr>
            <w:r>
              <w:rPr>
                <w:rFonts w:hint="eastAsia" w:ascii="仿宋" w:hAnsi="仿宋" w:eastAsia="仿宋" w:cs="仿宋_GB2312"/>
                <w:color w:val="auto"/>
                <w:sz w:val="28"/>
                <w:szCs w:val="28"/>
              </w:rPr>
              <w:t>万册次</w:t>
            </w:r>
          </w:p>
        </w:tc>
        <w:tc>
          <w:tcPr>
            <w:tcW w:w="1165" w:type="dxa"/>
            <w:vAlign w:val="center"/>
          </w:tcPr>
          <w:p>
            <w:pPr>
              <w:spacing w:line="480" w:lineRule="exact"/>
              <w:jc w:val="center"/>
              <w:rPr>
                <w:rFonts w:ascii="仿宋" w:hAnsi="仿宋" w:eastAsia="仿宋"/>
                <w:color w:val="auto"/>
                <w:sz w:val="28"/>
                <w:szCs w:val="28"/>
              </w:rPr>
            </w:pPr>
            <w:r>
              <w:rPr>
                <w:rFonts w:hint="eastAsia" w:ascii="仿宋" w:hAnsi="仿宋" w:eastAsia="仿宋" w:cs="仿宋_GB2312"/>
                <w:color w:val="auto"/>
                <w:sz w:val="28"/>
                <w:szCs w:val="28"/>
              </w:rPr>
              <w:t>1784</w:t>
            </w:r>
          </w:p>
        </w:tc>
        <w:tc>
          <w:tcPr>
            <w:tcW w:w="1167" w:type="dxa"/>
            <w:vAlign w:val="center"/>
          </w:tcPr>
          <w:p>
            <w:pPr>
              <w:spacing w:line="480" w:lineRule="exact"/>
              <w:jc w:val="center"/>
              <w:rPr>
                <w:rFonts w:ascii="仿宋" w:hAnsi="仿宋" w:eastAsia="仿宋" w:cs="仿宋_GB2312"/>
                <w:color w:val="auto"/>
                <w:sz w:val="28"/>
                <w:szCs w:val="28"/>
              </w:rPr>
            </w:pPr>
            <w:r>
              <w:rPr>
                <w:rFonts w:ascii="仿宋" w:hAnsi="仿宋" w:eastAsia="仿宋" w:cs="仿宋_GB2312"/>
                <w:color w:val="auto"/>
                <w:sz w:val="28"/>
                <w:szCs w:val="28"/>
              </w:rPr>
              <w:t>2</w:t>
            </w:r>
            <w:r>
              <w:rPr>
                <w:rFonts w:hint="eastAsia" w:ascii="仿宋" w:hAnsi="仿宋" w:eastAsia="仿宋" w:cs="仿宋_GB2312"/>
                <w:color w:val="auto"/>
                <w:sz w:val="28"/>
                <w:szCs w:val="28"/>
              </w:rPr>
              <w:t>5</w:t>
            </w:r>
            <w:r>
              <w:rPr>
                <w:rFonts w:ascii="仿宋" w:hAnsi="仿宋" w:eastAsia="仿宋" w:cs="仿宋_GB2312"/>
                <w:color w:val="auto"/>
                <w:sz w:val="28"/>
                <w:szCs w:val="28"/>
              </w:rPr>
              <w:t>00</w:t>
            </w:r>
          </w:p>
        </w:tc>
        <w:tc>
          <w:tcPr>
            <w:tcW w:w="1437" w:type="dxa"/>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40.13%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961" w:type="dxa"/>
            <w:vMerge w:val="continue"/>
            <w:vAlign w:val="center"/>
          </w:tcPr>
          <w:p>
            <w:pPr>
              <w:spacing w:line="480" w:lineRule="exact"/>
              <w:jc w:val="center"/>
              <w:rPr>
                <w:rFonts w:ascii="仿宋" w:hAnsi="仿宋" w:eastAsia="仿宋" w:cs="仿宋_GB2312"/>
                <w:color w:val="auto"/>
                <w:sz w:val="28"/>
                <w:szCs w:val="28"/>
              </w:rPr>
            </w:pPr>
          </w:p>
        </w:tc>
        <w:tc>
          <w:tcPr>
            <w:tcW w:w="870" w:type="dxa"/>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8</w:t>
            </w:r>
          </w:p>
        </w:tc>
        <w:tc>
          <w:tcPr>
            <w:tcW w:w="2612" w:type="dxa"/>
            <w:vAlign w:val="center"/>
          </w:tcPr>
          <w:p>
            <w:pPr>
              <w:spacing w:line="480" w:lineRule="exact"/>
              <w:rPr>
                <w:rFonts w:ascii="仿宋" w:hAnsi="仿宋" w:eastAsia="仿宋" w:cs="仿宋_GB2312"/>
                <w:color w:val="auto"/>
                <w:sz w:val="28"/>
                <w:szCs w:val="28"/>
              </w:rPr>
            </w:pPr>
            <w:r>
              <w:rPr>
                <w:rFonts w:hint="eastAsia" w:ascii="仿宋" w:hAnsi="仿宋" w:eastAsia="仿宋" w:cs="仿宋_GB2312"/>
                <w:color w:val="auto"/>
                <w:sz w:val="28"/>
                <w:szCs w:val="28"/>
              </w:rPr>
              <w:t>有效借书证数</w:t>
            </w:r>
          </w:p>
        </w:tc>
        <w:tc>
          <w:tcPr>
            <w:tcW w:w="968" w:type="dxa"/>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万个</w:t>
            </w:r>
          </w:p>
        </w:tc>
        <w:tc>
          <w:tcPr>
            <w:tcW w:w="1165" w:type="dxa"/>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240</w:t>
            </w:r>
          </w:p>
        </w:tc>
        <w:tc>
          <w:tcPr>
            <w:tcW w:w="1167" w:type="dxa"/>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4</w:t>
            </w:r>
            <w:r>
              <w:rPr>
                <w:rFonts w:ascii="仿宋" w:hAnsi="仿宋" w:eastAsia="仿宋" w:cs="仿宋_GB2312"/>
                <w:color w:val="auto"/>
                <w:sz w:val="28"/>
                <w:szCs w:val="28"/>
              </w:rPr>
              <w:t>00</w:t>
            </w:r>
          </w:p>
        </w:tc>
        <w:tc>
          <w:tcPr>
            <w:tcW w:w="1437" w:type="dxa"/>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66.67%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961" w:type="dxa"/>
            <w:vMerge w:val="restart"/>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管理</w:t>
            </w:r>
          </w:p>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体制</w:t>
            </w:r>
          </w:p>
        </w:tc>
        <w:tc>
          <w:tcPr>
            <w:tcW w:w="870" w:type="dxa"/>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9</w:t>
            </w:r>
          </w:p>
        </w:tc>
        <w:tc>
          <w:tcPr>
            <w:tcW w:w="2612" w:type="dxa"/>
            <w:vAlign w:val="center"/>
          </w:tcPr>
          <w:p>
            <w:pPr>
              <w:spacing w:line="480" w:lineRule="exact"/>
              <w:rPr>
                <w:rFonts w:ascii="仿宋" w:hAnsi="仿宋" w:eastAsia="仿宋" w:cs="仿宋_GB2312"/>
                <w:color w:val="auto"/>
                <w:sz w:val="28"/>
                <w:szCs w:val="28"/>
              </w:rPr>
            </w:pPr>
            <w:r>
              <w:rPr>
                <w:rFonts w:hint="eastAsia" w:ascii="仿宋" w:hAnsi="仿宋" w:eastAsia="仿宋" w:cs="仿宋_GB2312"/>
                <w:color w:val="auto"/>
                <w:sz w:val="28"/>
                <w:szCs w:val="28"/>
              </w:rPr>
              <w:t>志愿者服务队伍人数</w:t>
            </w:r>
          </w:p>
        </w:tc>
        <w:tc>
          <w:tcPr>
            <w:tcW w:w="968" w:type="dxa"/>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万人</w:t>
            </w:r>
          </w:p>
        </w:tc>
        <w:tc>
          <w:tcPr>
            <w:tcW w:w="1165" w:type="dxa"/>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1.18</w:t>
            </w:r>
          </w:p>
        </w:tc>
        <w:tc>
          <w:tcPr>
            <w:tcW w:w="1167" w:type="dxa"/>
            <w:vAlign w:val="center"/>
          </w:tcPr>
          <w:p>
            <w:pPr>
              <w:spacing w:line="480" w:lineRule="exact"/>
              <w:jc w:val="center"/>
              <w:rPr>
                <w:rFonts w:ascii="仿宋" w:hAnsi="仿宋" w:eastAsia="仿宋" w:cs="仿宋_GB2312"/>
                <w:bCs/>
                <w:color w:val="auto"/>
                <w:sz w:val="28"/>
                <w:szCs w:val="28"/>
              </w:rPr>
            </w:pPr>
            <w:r>
              <w:rPr>
                <w:rFonts w:ascii="仿宋" w:hAnsi="仿宋" w:eastAsia="仿宋" w:cs="仿宋_GB2312"/>
                <w:bCs/>
                <w:color w:val="auto"/>
                <w:sz w:val="28"/>
                <w:szCs w:val="28"/>
              </w:rPr>
              <w:t>1.5</w:t>
            </w:r>
          </w:p>
        </w:tc>
        <w:tc>
          <w:tcPr>
            <w:tcW w:w="1437" w:type="dxa"/>
            <w:vAlign w:val="center"/>
          </w:tcPr>
          <w:p>
            <w:pPr>
              <w:spacing w:line="480" w:lineRule="exact"/>
              <w:jc w:val="center"/>
              <w:rPr>
                <w:rFonts w:ascii="仿宋" w:hAnsi="仿宋" w:eastAsia="仿宋" w:cs="仿宋_GB2312"/>
                <w:bCs/>
                <w:color w:val="auto"/>
                <w:sz w:val="28"/>
                <w:szCs w:val="28"/>
              </w:rPr>
            </w:pPr>
            <w:r>
              <w:rPr>
                <w:rFonts w:hint="eastAsia" w:ascii="仿宋" w:hAnsi="仿宋" w:eastAsia="仿宋" w:cs="仿宋_GB2312"/>
                <w:bCs/>
                <w:color w:val="auto"/>
                <w:sz w:val="28"/>
                <w:szCs w:val="28"/>
              </w:rPr>
              <w:t>69.49%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2" w:hRule="atLeast"/>
          <w:jc w:val="center"/>
        </w:trPr>
        <w:tc>
          <w:tcPr>
            <w:tcW w:w="961" w:type="dxa"/>
            <w:vMerge w:val="continue"/>
            <w:vAlign w:val="center"/>
          </w:tcPr>
          <w:p>
            <w:pPr>
              <w:spacing w:line="480" w:lineRule="exact"/>
              <w:jc w:val="center"/>
              <w:rPr>
                <w:rFonts w:ascii="仿宋" w:hAnsi="仿宋" w:eastAsia="仿宋" w:cs="仿宋_GB2312"/>
                <w:color w:val="auto"/>
                <w:sz w:val="28"/>
                <w:szCs w:val="28"/>
              </w:rPr>
            </w:pPr>
          </w:p>
        </w:tc>
        <w:tc>
          <w:tcPr>
            <w:tcW w:w="870" w:type="dxa"/>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10</w:t>
            </w:r>
          </w:p>
        </w:tc>
        <w:tc>
          <w:tcPr>
            <w:tcW w:w="2612" w:type="dxa"/>
            <w:vAlign w:val="center"/>
          </w:tcPr>
          <w:p>
            <w:pPr>
              <w:spacing w:line="480" w:lineRule="exact"/>
              <w:rPr>
                <w:rFonts w:ascii="仿宋" w:hAnsi="仿宋" w:eastAsia="仿宋" w:cs="仿宋_GB2312"/>
                <w:color w:val="auto"/>
                <w:sz w:val="28"/>
                <w:szCs w:val="28"/>
              </w:rPr>
            </w:pPr>
            <w:r>
              <w:rPr>
                <w:rFonts w:hint="eastAsia" w:ascii="仿宋" w:hAnsi="仿宋" w:eastAsia="仿宋" w:cs="仿宋_GB2312"/>
                <w:color w:val="auto"/>
                <w:sz w:val="28"/>
                <w:szCs w:val="28"/>
              </w:rPr>
              <w:t>县级总分馆制完成数量</w:t>
            </w:r>
          </w:p>
        </w:tc>
        <w:tc>
          <w:tcPr>
            <w:tcW w:w="968" w:type="dxa"/>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个</w:t>
            </w:r>
          </w:p>
        </w:tc>
        <w:tc>
          <w:tcPr>
            <w:tcW w:w="1165" w:type="dxa"/>
            <w:vAlign w:val="center"/>
          </w:tcPr>
          <w:p>
            <w:pPr>
              <w:spacing w:line="480" w:lineRule="exact"/>
              <w:jc w:val="center"/>
              <w:rPr>
                <w:rFonts w:ascii="仿宋" w:hAnsi="仿宋" w:eastAsia="仿宋" w:cs="仿宋_GB2312"/>
                <w:color w:val="auto"/>
                <w:sz w:val="28"/>
                <w:szCs w:val="28"/>
              </w:rPr>
            </w:pPr>
            <w:r>
              <w:rPr>
                <w:rFonts w:ascii="仿宋" w:hAnsi="仿宋" w:eastAsia="仿宋" w:cs="仿宋_GB2312"/>
                <w:color w:val="auto"/>
                <w:sz w:val="28"/>
                <w:szCs w:val="28"/>
              </w:rPr>
              <w:t>73</w:t>
            </w:r>
          </w:p>
        </w:tc>
        <w:tc>
          <w:tcPr>
            <w:tcW w:w="1167" w:type="dxa"/>
            <w:vAlign w:val="center"/>
          </w:tcPr>
          <w:p>
            <w:pPr>
              <w:spacing w:line="480" w:lineRule="exact"/>
              <w:jc w:val="center"/>
              <w:rPr>
                <w:rFonts w:ascii="仿宋" w:hAnsi="仿宋" w:eastAsia="仿宋" w:cs="仿宋_GB2312"/>
                <w:color w:val="auto"/>
                <w:sz w:val="28"/>
                <w:szCs w:val="28"/>
              </w:rPr>
            </w:pPr>
            <w:r>
              <w:rPr>
                <w:rFonts w:ascii="仿宋" w:hAnsi="仿宋" w:eastAsia="仿宋" w:cs="仿宋_GB2312"/>
                <w:color w:val="auto"/>
                <w:sz w:val="28"/>
                <w:szCs w:val="28"/>
              </w:rPr>
              <w:t>142</w:t>
            </w:r>
          </w:p>
        </w:tc>
        <w:tc>
          <w:tcPr>
            <w:tcW w:w="1437" w:type="dxa"/>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9</w:t>
            </w:r>
            <w:r>
              <w:rPr>
                <w:rFonts w:ascii="仿宋" w:hAnsi="仿宋" w:eastAsia="仿宋" w:cs="仿宋_GB2312"/>
                <w:color w:val="auto"/>
                <w:sz w:val="28"/>
                <w:szCs w:val="28"/>
              </w:rPr>
              <w:t>7.26</w:t>
            </w:r>
            <w:r>
              <w:rPr>
                <w:rFonts w:hint="eastAsia" w:ascii="仿宋" w:hAnsi="仿宋" w:eastAsia="仿宋" w:cs="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961" w:type="dxa"/>
            <w:vMerge w:val="continue"/>
            <w:vAlign w:val="center"/>
          </w:tcPr>
          <w:p>
            <w:pPr>
              <w:spacing w:line="480" w:lineRule="exact"/>
              <w:jc w:val="center"/>
              <w:rPr>
                <w:rFonts w:ascii="仿宋" w:hAnsi="仿宋" w:eastAsia="仿宋" w:cs="仿宋_GB2312"/>
                <w:color w:val="auto"/>
                <w:sz w:val="28"/>
                <w:szCs w:val="28"/>
              </w:rPr>
            </w:pPr>
          </w:p>
        </w:tc>
        <w:tc>
          <w:tcPr>
            <w:tcW w:w="870" w:type="dxa"/>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11</w:t>
            </w:r>
          </w:p>
        </w:tc>
        <w:tc>
          <w:tcPr>
            <w:tcW w:w="2612" w:type="dxa"/>
            <w:vAlign w:val="center"/>
          </w:tcPr>
          <w:p>
            <w:pPr>
              <w:spacing w:line="480" w:lineRule="exact"/>
              <w:rPr>
                <w:rFonts w:ascii="仿宋" w:hAnsi="仿宋" w:eastAsia="仿宋" w:cs="仿宋_GB2312"/>
                <w:color w:val="auto"/>
                <w:sz w:val="28"/>
                <w:szCs w:val="28"/>
              </w:rPr>
            </w:pPr>
            <w:r>
              <w:rPr>
                <w:rFonts w:hint="eastAsia" w:ascii="仿宋" w:hAnsi="仿宋" w:eastAsia="仿宋" w:cs="仿宋_GB2312"/>
                <w:color w:val="auto"/>
                <w:sz w:val="28"/>
                <w:szCs w:val="28"/>
              </w:rPr>
              <w:t>市（州）图书馆法人治理结构改革完成数量</w:t>
            </w:r>
          </w:p>
        </w:tc>
        <w:tc>
          <w:tcPr>
            <w:tcW w:w="968" w:type="dxa"/>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个</w:t>
            </w:r>
          </w:p>
        </w:tc>
        <w:tc>
          <w:tcPr>
            <w:tcW w:w="1165" w:type="dxa"/>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6</w:t>
            </w:r>
          </w:p>
        </w:tc>
        <w:tc>
          <w:tcPr>
            <w:tcW w:w="1167" w:type="dxa"/>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10</w:t>
            </w:r>
          </w:p>
        </w:tc>
        <w:tc>
          <w:tcPr>
            <w:tcW w:w="1437" w:type="dxa"/>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66.7%</w:t>
            </w:r>
          </w:p>
        </w:tc>
      </w:tr>
    </w:tbl>
    <w:p>
      <w:pPr>
        <w:spacing w:line="500" w:lineRule="exact"/>
        <w:rPr>
          <w:rFonts w:ascii="黑体" w:hAnsi="黑体" w:eastAsia="黑体" w:cs="黑体"/>
          <w:color w:val="auto"/>
          <w:sz w:val="32"/>
          <w:szCs w:val="32"/>
        </w:rPr>
      </w:pPr>
      <w:r>
        <w:rPr>
          <w:rFonts w:hint="eastAsia" w:ascii="黑体" w:hAnsi="黑体" w:eastAsia="黑体" w:cs="黑体"/>
          <w:color w:val="auto"/>
          <w:sz w:val="32"/>
          <w:szCs w:val="32"/>
        </w:rPr>
        <w:t>说明：</w:t>
      </w:r>
    </w:p>
    <w:p>
      <w:pPr>
        <w:spacing w:line="5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1.指标1系根据2017年全国第六次公共图书馆评估定级结果，结合各地公共图书馆建设现状提出的2022年预计达到的指标。</w:t>
      </w:r>
    </w:p>
    <w:p>
      <w:pPr>
        <w:spacing w:line="5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2.指标2—4系根据《四川省基本公共文化服务保障标准（2015—2020年）》（川委办〔2015〕39号）提出的2020年应达到标准，根据现有年度增长幅度提出的预计达到指标。</w:t>
      </w:r>
    </w:p>
    <w:p>
      <w:pPr>
        <w:spacing w:line="5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3.指标5—9系根据近年来全省公共图书馆发展情况和年均增长情况，提出的预计达到指标。</w:t>
      </w:r>
    </w:p>
    <w:p>
      <w:pPr>
        <w:spacing w:line="5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4.指标10—11系根据全省公共文化领域重点改革任务清单下达给各地的任务得出。</w:t>
      </w:r>
    </w:p>
    <w:p>
      <w:pPr>
        <w:spacing w:line="600" w:lineRule="exact"/>
        <w:rPr>
          <w:rFonts w:ascii="仿宋_GB2312" w:hAnsi="仿宋_GB2312" w:eastAsia="仿宋_GB2312" w:cs="仿宋_GB2312"/>
          <w:color w:val="auto"/>
          <w:sz w:val="32"/>
          <w:szCs w:val="32"/>
        </w:rPr>
      </w:pPr>
    </w:p>
    <w:p>
      <w:pPr>
        <w:spacing w:line="600" w:lineRule="exact"/>
        <w:ind w:left="1600"/>
        <w:jc w:val="right"/>
        <w:rPr>
          <w:rFonts w:ascii="仿宋_GB2312" w:hAnsi="仿宋_GB2312" w:eastAsia="仿宋_GB2312" w:cs="仿宋_GB2312"/>
          <w:color w:val="auto"/>
          <w:sz w:val="32"/>
          <w:szCs w:val="32"/>
        </w:rPr>
      </w:pPr>
    </w:p>
    <w:p>
      <w:pPr>
        <w:spacing w:line="600" w:lineRule="exact"/>
        <w:ind w:left="1600"/>
        <w:jc w:val="right"/>
        <w:rPr>
          <w:rFonts w:ascii="仿宋_GB2312" w:hAnsi="仿宋_GB2312" w:eastAsia="仿宋_GB2312" w:cs="仿宋_GB2312"/>
          <w:color w:val="auto"/>
          <w:sz w:val="32"/>
          <w:szCs w:val="32"/>
        </w:rPr>
      </w:pPr>
    </w:p>
    <w:p>
      <w:pPr>
        <w:spacing w:line="600" w:lineRule="exact"/>
        <w:ind w:left="1600"/>
        <w:jc w:val="right"/>
        <w:rPr>
          <w:rFonts w:ascii="仿宋_GB2312" w:hAnsi="仿宋_GB2312" w:eastAsia="仿宋_GB2312" w:cs="仿宋_GB2312"/>
          <w:color w:val="auto"/>
          <w:sz w:val="32"/>
          <w:szCs w:val="32"/>
        </w:rPr>
      </w:pPr>
    </w:p>
    <w:p>
      <w:pPr>
        <w:spacing w:line="600" w:lineRule="exact"/>
        <w:ind w:left="1600"/>
        <w:jc w:val="right"/>
        <w:rPr>
          <w:rFonts w:ascii="仿宋_GB2312" w:hAnsi="仿宋_GB2312" w:eastAsia="仿宋_GB2312" w:cs="仿宋_GB2312"/>
          <w:color w:val="auto"/>
          <w:sz w:val="32"/>
          <w:szCs w:val="32"/>
        </w:rPr>
      </w:pPr>
    </w:p>
    <w:p>
      <w:pPr>
        <w:spacing w:line="600" w:lineRule="exact"/>
        <w:ind w:left="1600"/>
        <w:jc w:val="right"/>
        <w:rPr>
          <w:rFonts w:ascii="仿宋_GB2312" w:hAnsi="仿宋_GB2312" w:eastAsia="仿宋_GB2312" w:cs="仿宋_GB2312"/>
          <w:color w:val="auto"/>
          <w:sz w:val="32"/>
          <w:szCs w:val="32"/>
        </w:rPr>
      </w:pPr>
    </w:p>
    <w:p>
      <w:pPr>
        <w:spacing w:line="600" w:lineRule="exact"/>
        <w:ind w:left="1600"/>
        <w:jc w:val="right"/>
        <w:rPr>
          <w:rFonts w:ascii="仿宋_GB2312" w:hAnsi="仿宋_GB2312" w:eastAsia="仿宋_GB2312" w:cs="仿宋_GB2312"/>
          <w:color w:val="auto"/>
          <w:sz w:val="32"/>
          <w:szCs w:val="32"/>
        </w:rPr>
      </w:pPr>
    </w:p>
    <w:p>
      <w:pPr>
        <w:spacing w:line="600" w:lineRule="exact"/>
        <w:ind w:left="1600"/>
        <w:jc w:val="right"/>
        <w:rPr>
          <w:rFonts w:ascii="仿宋_GB2312" w:hAnsi="仿宋_GB2312" w:eastAsia="仿宋_GB2312" w:cs="仿宋_GB2312"/>
          <w:color w:val="auto"/>
          <w:sz w:val="32"/>
          <w:szCs w:val="32"/>
        </w:rPr>
      </w:pPr>
    </w:p>
    <w:p>
      <w:pPr>
        <w:spacing w:line="600" w:lineRule="exact"/>
        <w:ind w:left="1600"/>
        <w:jc w:val="right"/>
        <w:rPr>
          <w:rFonts w:ascii="仿宋_GB2312" w:hAnsi="仿宋_GB2312" w:eastAsia="仿宋_GB2312" w:cs="仿宋_GB2312"/>
          <w:color w:val="auto"/>
          <w:sz w:val="32"/>
          <w:szCs w:val="32"/>
        </w:rPr>
      </w:pPr>
    </w:p>
    <w:p>
      <w:pPr>
        <w:spacing w:line="600" w:lineRule="exact"/>
        <w:ind w:left="1600"/>
        <w:jc w:val="right"/>
        <w:rPr>
          <w:rFonts w:ascii="仿宋_GB2312" w:hAnsi="仿宋_GB2312" w:eastAsia="仿宋_GB2312" w:cs="仿宋_GB2312"/>
          <w:color w:val="auto"/>
          <w:sz w:val="32"/>
          <w:szCs w:val="32"/>
        </w:rPr>
      </w:pPr>
    </w:p>
    <w:p>
      <w:pPr>
        <w:spacing w:line="600" w:lineRule="exact"/>
        <w:ind w:left="1600"/>
        <w:jc w:val="right"/>
        <w:rPr>
          <w:rFonts w:ascii="仿宋_GB2312" w:hAnsi="仿宋_GB2312" w:eastAsia="仿宋_GB2312" w:cs="仿宋_GB2312"/>
          <w:color w:val="auto"/>
          <w:sz w:val="32"/>
          <w:szCs w:val="32"/>
        </w:rPr>
      </w:pPr>
    </w:p>
    <w:p>
      <w:pPr>
        <w:spacing w:line="600" w:lineRule="exact"/>
        <w:ind w:left="1600"/>
        <w:jc w:val="right"/>
        <w:rPr>
          <w:rFonts w:ascii="仿宋_GB2312" w:hAnsi="仿宋_GB2312" w:eastAsia="仿宋_GB2312" w:cs="仿宋_GB2312"/>
          <w:color w:val="auto"/>
          <w:sz w:val="32"/>
          <w:szCs w:val="32"/>
        </w:rPr>
      </w:pPr>
    </w:p>
    <w:p>
      <w:pPr>
        <w:spacing w:line="600" w:lineRule="exact"/>
        <w:ind w:left="1600"/>
        <w:jc w:val="right"/>
        <w:rPr>
          <w:rFonts w:ascii="仿宋_GB2312" w:hAnsi="仿宋_GB2312" w:eastAsia="仿宋_GB2312" w:cs="仿宋_GB2312"/>
          <w:color w:val="auto"/>
          <w:sz w:val="32"/>
          <w:szCs w:val="32"/>
        </w:rPr>
      </w:pPr>
    </w:p>
    <w:p>
      <w:pPr>
        <w:spacing w:line="600" w:lineRule="exact"/>
        <w:ind w:left="1600"/>
        <w:jc w:val="right"/>
        <w:rPr>
          <w:rFonts w:ascii="仿宋_GB2312" w:hAnsi="仿宋_GB2312" w:eastAsia="仿宋_GB2312" w:cs="仿宋_GB2312"/>
          <w:color w:val="auto"/>
          <w:sz w:val="32"/>
          <w:szCs w:val="32"/>
        </w:rPr>
      </w:pPr>
    </w:p>
    <w:p>
      <w:pPr>
        <w:spacing w:line="600" w:lineRule="exact"/>
        <w:ind w:left="1600"/>
        <w:jc w:val="right"/>
        <w:rPr>
          <w:rFonts w:ascii="仿宋_GB2312" w:hAnsi="仿宋_GB2312" w:eastAsia="仿宋_GB2312" w:cs="仿宋_GB2312"/>
          <w:color w:val="auto"/>
          <w:sz w:val="32"/>
          <w:szCs w:val="32"/>
        </w:rPr>
      </w:pPr>
    </w:p>
    <w:p>
      <w:pPr>
        <w:spacing w:line="600" w:lineRule="exact"/>
        <w:ind w:left="1600"/>
        <w:jc w:val="right"/>
        <w:rPr>
          <w:rFonts w:ascii="仿宋_GB2312" w:hAnsi="仿宋_GB2312" w:eastAsia="仿宋_GB2312" w:cs="仿宋_GB2312"/>
          <w:color w:val="auto"/>
          <w:sz w:val="32"/>
          <w:szCs w:val="32"/>
        </w:rPr>
      </w:pPr>
    </w:p>
    <w:p>
      <w:pPr>
        <w:spacing w:line="600" w:lineRule="exact"/>
        <w:ind w:left="1600"/>
        <w:jc w:val="right"/>
        <w:rPr>
          <w:rFonts w:ascii="仿宋_GB2312" w:hAnsi="仿宋_GB2312" w:eastAsia="仿宋_GB2312" w:cs="仿宋_GB2312"/>
          <w:color w:val="auto"/>
          <w:sz w:val="32"/>
          <w:szCs w:val="32"/>
        </w:rPr>
      </w:pPr>
    </w:p>
    <w:p>
      <w:pPr>
        <w:spacing w:line="600" w:lineRule="exact"/>
        <w:rPr>
          <w:rFonts w:ascii="黑体" w:hAnsi="黑体" w:eastAsia="黑体" w:cs="黑体"/>
          <w:color w:val="auto"/>
          <w:sz w:val="32"/>
          <w:szCs w:val="32"/>
        </w:rPr>
      </w:pPr>
      <w:r>
        <w:rPr>
          <w:rFonts w:hint="eastAsia" w:ascii="黑体" w:hAnsi="黑体" w:eastAsia="黑体" w:cs="黑体"/>
          <w:color w:val="auto"/>
          <w:sz w:val="32"/>
          <w:szCs w:val="32"/>
        </w:rPr>
        <w:t>附件2</w:t>
      </w:r>
    </w:p>
    <w:p>
      <w:pPr>
        <w:spacing w:line="700" w:lineRule="exact"/>
        <w:jc w:val="center"/>
        <w:rPr>
          <w:rFonts w:ascii="方正小标宋简体" w:eastAsia="方正小标宋简体"/>
          <w:bCs/>
          <w:color w:val="auto"/>
          <w:sz w:val="44"/>
          <w:szCs w:val="44"/>
        </w:rPr>
      </w:pPr>
      <w:r>
        <w:rPr>
          <w:rFonts w:hint="eastAsia" w:ascii="方正小标宋简体" w:eastAsia="方正小标宋简体"/>
          <w:bCs/>
          <w:color w:val="auto"/>
          <w:sz w:val="44"/>
          <w:szCs w:val="44"/>
        </w:rPr>
        <w:t>全省文化馆效能提升</w:t>
      </w:r>
      <w:r>
        <w:rPr>
          <w:rFonts w:hint="eastAsia" w:ascii="方正小标宋简体" w:eastAsia="方正小标宋简体"/>
          <w:bCs/>
          <w:color w:val="auto"/>
          <w:sz w:val="44"/>
          <w:szCs w:val="44"/>
          <w:lang w:eastAsia="zh-CN"/>
        </w:rPr>
        <w:t>六大</w:t>
      </w:r>
      <w:r>
        <w:rPr>
          <w:rFonts w:hint="eastAsia" w:ascii="方正小标宋简体" w:eastAsia="方正小标宋简体"/>
          <w:bCs/>
          <w:color w:val="auto"/>
          <w:sz w:val="44"/>
          <w:szCs w:val="44"/>
        </w:rPr>
        <w:t>行动方案</w:t>
      </w:r>
    </w:p>
    <w:p>
      <w:pPr>
        <w:spacing w:line="700" w:lineRule="exact"/>
        <w:jc w:val="center"/>
        <w:rPr>
          <w:rFonts w:ascii="方正小标宋简体" w:eastAsia="方正小标宋简体"/>
          <w:bCs/>
          <w:color w:val="auto"/>
          <w:sz w:val="44"/>
          <w:szCs w:val="44"/>
        </w:rPr>
      </w:pPr>
      <w:r>
        <w:rPr>
          <w:rFonts w:hint="eastAsia" w:ascii="方正小标宋简体" w:eastAsia="方正小标宋简体"/>
          <w:bCs/>
          <w:color w:val="auto"/>
          <w:sz w:val="44"/>
          <w:szCs w:val="44"/>
        </w:rPr>
        <w:t>（2020-2022年）</w:t>
      </w:r>
    </w:p>
    <w:p>
      <w:pPr>
        <w:spacing w:line="560" w:lineRule="exact"/>
        <w:ind w:firstLine="415" w:firstLineChars="198"/>
        <w:rPr>
          <w:rFonts w:ascii="仿宋" w:hAnsi="仿宋" w:eastAsia="仿宋" w:cs="仿宋_GB2312"/>
          <w:color w:val="auto"/>
          <w:szCs w:val="32"/>
        </w:rPr>
      </w:pPr>
    </w:p>
    <w:p>
      <w:pPr>
        <w:spacing w:line="560" w:lineRule="exact"/>
        <w:ind w:firstLine="633" w:firstLineChars="198"/>
        <w:rPr>
          <w:rFonts w:ascii="仿宋" w:hAnsi="仿宋" w:eastAsia="仿宋"/>
          <w:color w:val="auto"/>
          <w:sz w:val="32"/>
          <w:szCs w:val="32"/>
        </w:rPr>
      </w:pPr>
      <w:r>
        <w:rPr>
          <w:rFonts w:hint="eastAsia" w:ascii="仿宋" w:hAnsi="仿宋" w:eastAsia="仿宋"/>
          <w:color w:val="auto"/>
          <w:sz w:val="32"/>
          <w:szCs w:val="32"/>
        </w:rPr>
        <w:t>为贯彻落实省委十一届三次全会提出的“完善公共文化服务体系，大力实施博物馆、图书馆、文化馆提升行动”精神和文化旅游发展大会精神，补齐文化馆（站）事业发展短板，丰富公共文化产品供给，提升公共文化服务效能，开展全民艺术普及，结合我省实际，特制定以下行动方案。</w:t>
      </w:r>
    </w:p>
    <w:p>
      <w:pPr>
        <w:spacing w:line="560" w:lineRule="exact"/>
        <w:ind w:firstLine="633" w:firstLineChars="198"/>
        <w:rPr>
          <w:rFonts w:ascii="黑体" w:hAnsi="黑体" w:eastAsia="黑体"/>
          <w:bCs/>
          <w:color w:val="auto"/>
          <w:sz w:val="32"/>
          <w:szCs w:val="32"/>
        </w:rPr>
      </w:pPr>
      <w:r>
        <w:rPr>
          <w:rFonts w:hint="eastAsia" w:ascii="黑体" w:hAnsi="黑体" w:eastAsia="黑体"/>
          <w:bCs/>
          <w:color w:val="auto"/>
          <w:sz w:val="32"/>
          <w:szCs w:val="32"/>
        </w:rPr>
        <w:t>一、工作目标</w:t>
      </w:r>
    </w:p>
    <w:p>
      <w:pPr>
        <w:spacing w:line="560" w:lineRule="exact"/>
        <w:ind w:firstLine="633" w:firstLineChars="198"/>
        <w:rPr>
          <w:rFonts w:ascii="仿宋" w:hAnsi="仿宋" w:eastAsia="仿宋"/>
          <w:color w:val="auto"/>
          <w:sz w:val="32"/>
          <w:szCs w:val="32"/>
        </w:rPr>
      </w:pPr>
      <w:r>
        <w:rPr>
          <w:rFonts w:hint="eastAsia" w:ascii="仿宋" w:hAnsi="仿宋" w:eastAsia="仿宋"/>
          <w:color w:val="auto"/>
          <w:sz w:val="32"/>
          <w:szCs w:val="32"/>
        </w:rPr>
        <w:t>到</w:t>
      </w:r>
      <w:r>
        <w:rPr>
          <w:rFonts w:ascii="仿宋" w:hAnsi="仿宋" w:eastAsia="仿宋"/>
          <w:color w:val="auto"/>
          <w:sz w:val="32"/>
          <w:szCs w:val="32"/>
        </w:rPr>
        <w:t>202</w:t>
      </w:r>
      <w:r>
        <w:rPr>
          <w:rFonts w:hint="eastAsia" w:ascii="仿宋" w:hAnsi="仿宋" w:eastAsia="仿宋"/>
          <w:color w:val="auto"/>
          <w:sz w:val="32"/>
          <w:szCs w:val="32"/>
        </w:rPr>
        <w:t>2年，全面建成以省文化馆为龙头、覆盖全省的全民艺术普及网络，发挥全民艺术普及的示范性、引领性、基础性作用，</w:t>
      </w:r>
      <w:r>
        <w:rPr>
          <w:rFonts w:hint="eastAsia" w:ascii="仿宋" w:hAnsi="仿宋" w:eastAsia="仿宋" w:cs="仿宋"/>
          <w:color w:val="auto"/>
          <w:sz w:val="32"/>
          <w:szCs w:val="32"/>
          <w:shd w:val="clear" w:color="auto" w:fill="FFFFFF"/>
        </w:rPr>
        <w:t>基本形</w:t>
      </w:r>
      <w:r>
        <w:rPr>
          <w:rFonts w:hint="eastAsia" w:ascii="仿宋" w:hAnsi="仿宋" w:eastAsia="仿宋" w:cs="仿宋"/>
          <w:color w:val="auto"/>
          <w:sz w:val="32"/>
          <w:szCs w:val="32"/>
        </w:rPr>
        <w:t>成公共文化发展新格局。</w:t>
      </w:r>
    </w:p>
    <w:p>
      <w:pPr>
        <w:spacing w:line="560" w:lineRule="exact"/>
        <w:ind w:firstLine="642" w:firstLineChars="200"/>
        <w:rPr>
          <w:rFonts w:ascii="仿宋" w:hAnsi="仿宋" w:eastAsia="仿宋"/>
          <w:color w:val="auto"/>
          <w:sz w:val="32"/>
          <w:szCs w:val="32"/>
        </w:rPr>
      </w:pPr>
      <w:r>
        <w:rPr>
          <w:rFonts w:ascii="仿宋" w:hAnsi="仿宋" w:eastAsia="仿宋" w:cs="仿宋"/>
          <w:b/>
          <w:bCs/>
          <w:color w:val="auto"/>
          <w:sz w:val="32"/>
          <w:szCs w:val="32"/>
        </w:rPr>
        <w:t>——</w:t>
      </w:r>
      <w:r>
        <w:rPr>
          <w:rFonts w:hint="eastAsia" w:ascii="仿宋" w:hAnsi="仿宋" w:eastAsia="仿宋"/>
          <w:color w:val="auto"/>
          <w:sz w:val="32"/>
          <w:szCs w:val="32"/>
        </w:rPr>
        <w:t>全省县级以上文化馆85%达到部颁三级标准，每万人群众文化设施面积达到</w:t>
      </w:r>
      <w:r>
        <w:rPr>
          <w:rFonts w:ascii="仿宋" w:hAnsi="仿宋" w:eastAsia="仿宋"/>
          <w:color w:val="auto"/>
          <w:sz w:val="32"/>
          <w:szCs w:val="32"/>
        </w:rPr>
        <w:t xml:space="preserve"> 392</w:t>
      </w:r>
      <w:r>
        <w:rPr>
          <w:rFonts w:hint="eastAsia" w:ascii="仿宋" w:hAnsi="仿宋" w:eastAsia="仿宋"/>
          <w:color w:val="auto"/>
          <w:sz w:val="32"/>
          <w:szCs w:val="32"/>
        </w:rPr>
        <w:t>平方米。省、市、县、乡、村五级全民艺术普及网络进一步完善，县级文化馆总分馆制建设基本完成。</w:t>
      </w:r>
    </w:p>
    <w:p>
      <w:pPr>
        <w:spacing w:line="560" w:lineRule="exact"/>
        <w:ind w:firstLine="642" w:firstLineChars="200"/>
        <w:rPr>
          <w:rFonts w:ascii="仿宋" w:hAnsi="仿宋" w:eastAsia="仿宋" w:cs="仿宋"/>
          <w:color w:val="auto"/>
          <w:sz w:val="32"/>
          <w:szCs w:val="32"/>
        </w:rPr>
      </w:pPr>
      <w:r>
        <w:rPr>
          <w:rFonts w:ascii="仿宋" w:hAnsi="仿宋" w:eastAsia="仿宋" w:cs="仿宋"/>
          <w:b/>
          <w:bCs/>
          <w:color w:val="auto"/>
          <w:sz w:val="32"/>
          <w:szCs w:val="32"/>
        </w:rPr>
        <w:t>——</w:t>
      </w:r>
      <w:r>
        <w:rPr>
          <w:rFonts w:hint="eastAsia" w:ascii="仿宋" w:hAnsi="仿宋" w:eastAsia="仿宋"/>
          <w:color w:val="auto"/>
          <w:sz w:val="32"/>
          <w:szCs w:val="32"/>
        </w:rPr>
        <w:t>推动互联网</w:t>
      </w:r>
      <w:r>
        <w:rPr>
          <w:rFonts w:ascii="仿宋" w:hAnsi="仿宋" w:eastAsia="仿宋"/>
          <w:color w:val="auto"/>
          <w:sz w:val="32"/>
          <w:szCs w:val="32"/>
        </w:rPr>
        <w:t>+</w:t>
      </w:r>
      <w:r>
        <w:rPr>
          <w:rFonts w:hint="eastAsia" w:ascii="仿宋" w:hAnsi="仿宋" w:eastAsia="仿宋"/>
          <w:color w:val="auto"/>
          <w:sz w:val="32"/>
          <w:szCs w:val="32"/>
        </w:rPr>
        <w:t>、大数据和文化馆建设深度融合，普遍实施数字文化馆平台建设工程，形成以省文化馆为中心的文化馆（站）数字资源网络体系。利用流动文化服务车拓展服务覆盖面。为特殊群体配备无障碍设施。</w:t>
      </w:r>
    </w:p>
    <w:p>
      <w:pPr>
        <w:spacing w:line="560" w:lineRule="exact"/>
        <w:ind w:firstLine="636" w:firstLineChars="198"/>
        <w:rPr>
          <w:rFonts w:ascii="仿宋" w:hAnsi="仿宋" w:eastAsia="仿宋" w:cs="仿宋"/>
          <w:b/>
          <w:bCs/>
          <w:color w:val="auto"/>
          <w:sz w:val="32"/>
          <w:szCs w:val="32"/>
        </w:rPr>
      </w:pPr>
      <w:r>
        <w:rPr>
          <w:rFonts w:ascii="仿宋" w:hAnsi="仿宋" w:eastAsia="仿宋" w:cs="仿宋"/>
          <w:b/>
          <w:bCs/>
          <w:color w:val="auto"/>
          <w:sz w:val="32"/>
          <w:szCs w:val="32"/>
        </w:rPr>
        <w:t>——</w:t>
      </w:r>
      <w:r>
        <w:rPr>
          <w:rFonts w:hint="eastAsia" w:ascii="仿宋" w:hAnsi="仿宋" w:eastAsia="仿宋"/>
          <w:color w:val="auto"/>
          <w:sz w:val="32"/>
          <w:szCs w:val="32"/>
        </w:rPr>
        <w:t>打造全民艺术普及品牌，市（州）级以上艺术普及活动品牌达到20个；注重精品生产，群星奖节目全国入选达到4个；通过实施与当地需求高度对接的服务项目，群众满意度达到80%。</w:t>
      </w:r>
    </w:p>
    <w:p>
      <w:pPr>
        <w:spacing w:line="560" w:lineRule="exact"/>
        <w:ind w:firstLine="633" w:firstLineChars="198"/>
        <w:rPr>
          <w:rFonts w:hint="default" w:ascii="黑体" w:hAnsi="黑体" w:eastAsia="黑体"/>
          <w:bCs/>
          <w:color w:val="auto"/>
          <w:sz w:val="32"/>
          <w:szCs w:val="32"/>
          <w:lang w:val="en-US" w:eastAsia="zh-CN"/>
        </w:rPr>
      </w:pPr>
      <w:r>
        <w:rPr>
          <w:rFonts w:hint="eastAsia" w:ascii="黑体" w:hAnsi="黑体" w:eastAsia="黑体"/>
          <w:bCs/>
          <w:color w:val="auto"/>
          <w:sz w:val="32"/>
          <w:szCs w:val="32"/>
        </w:rPr>
        <w:t>二、</w:t>
      </w:r>
      <w:r>
        <w:rPr>
          <w:rFonts w:hint="eastAsia" w:ascii="黑体" w:hAnsi="黑体" w:eastAsia="黑体"/>
          <w:bCs/>
          <w:color w:val="auto"/>
          <w:sz w:val="32"/>
          <w:szCs w:val="32"/>
          <w:lang w:eastAsia="zh-CN"/>
        </w:rPr>
        <w:t>六大行动</w:t>
      </w:r>
    </w:p>
    <w:p>
      <w:pPr>
        <w:spacing w:line="560" w:lineRule="exact"/>
        <w:ind w:firstLine="640" w:firstLineChars="200"/>
        <w:rPr>
          <w:rFonts w:ascii="楷体" w:hAnsi="楷体" w:eastAsia="楷体" w:cs="仿宋"/>
          <w:color w:val="auto"/>
          <w:sz w:val="32"/>
          <w:szCs w:val="32"/>
        </w:rPr>
      </w:pPr>
      <w:r>
        <w:rPr>
          <w:rFonts w:hint="eastAsia" w:ascii="楷体" w:hAnsi="楷体" w:eastAsia="楷体" w:cs="仿宋"/>
          <w:color w:val="auto"/>
          <w:sz w:val="32"/>
          <w:szCs w:val="32"/>
        </w:rPr>
        <w:t>（一）设施网络达标行动</w:t>
      </w:r>
    </w:p>
    <w:p>
      <w:pPr>
        <w:spacing w:line="560" w:lineRule="exact"/>
        <w:ind w:firstLine="645"/>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实施文化馆标准化建设工程。对标全国文化馆评估定级标准，提升省、市、县三级文化馆设施设备和数字化服务水平，推进乡镇（街道）综合文化站、村（社区）文化活动室建设，优化基层群众文化阵地网络布局。加强全省58个不达标市、县两级文化馆新建、改建和扩建，重点推进少数民族地区、集中连片特困地区、深度贫困地区文化馆提档升级。到2022年，实现文化馆达标率达到85%。</w:t>
      </w:r>
    </w:p>
    <w:p>
      <w:pPr>
        <w:spacing w:line="560" w:lineRule="exact"/>
        <w:ind w:firstLine="645"/>
        <w:rPr>
          <w:rFonts w:ascii="仿宋" w:hAnsi="仿宋" w:eastAsia="仿宋" w:cs="仿宋_GB2312"/>
          <w:color w:val="auto"/>
          <w:kern w:val="0"/>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完善五级全民艺术普及网络。</w:t>
      </w:r>
      <w:r>
        <w:rPr>
          <w:rFonts w:hint="eastAsia" w:ascii="仿宋" w:hAnsi="仿宋" w:eastAsia="仿宋" w:cs="仿宋_GB2312"/>
          <w:color w:val="auto"/>
          <w:kern w:val="0"/>
          <w:sz w:val="32"/>
          <w:szCs w:val="32"/>
        </w:rPr>
        <w:t>明确省、市、县、乡镇文化馆（站）功能定位、职责范围和业务规范，分别围绕省级中心馆龙头馆、市级区域分中心、县级艺术普及阵地和乡村艺术普及基地的定位，加快各级文化馆（站）、基层综合性文化服务中心、文化广场、文化大院等群众文艺阵地建设，建立完善覆盖全省的五级全民艺术普及网络。</w:t>
      </w:r>
    </w:p>
    <w:p>
      <w:pPr>
        <w:widowControl/>
        <w:spacing w:line="560" w:lineRule="exact"/>
        <w:ind w:firstLine="640" w:firstLineChars="200"/>
        <w:jc w:val="left"/>
        <w:rPr>
          <w:rFonts w:ascii="仿宋" w:hAnsi="仿宋" w:eastAsia="仿宋" w:cs="仿宋_GB2312"/>
          <w:color w:val="auto"/>
          <w:kern w:val="0"/>
          <w:sz w:val="32"/>
          <w:szCs w:val="32"/>
        </w:rPr>
      </w:pPr>
      <w:r>
        <w:rPr>
          <w:rFonts w:hint="eastAsia" w:ascii="仿宋" w:hAnsi="仿宋" w:eastAsia="仿宋" w:cs="仿宋"/>
          <w:color w:val="auto"/>
          <w:sz w:val="32"/>
          <w:szCs w:val="32"/>
        </w:rPr>
        <w:t>3.加强群众文艺阵地规范管理。</w:t>
      </w:r>
      <w:r>
        <w:rPr>
          <w:rFonts w:hint="eastAsia" w:ascii="仿宋" w:hAnsi="仿宋" w:eastAsia="仿宋" w:cs="仿宋_GB2312"/>
          <w:color w:val="auto"/>
          <w:kern w:val="0"/>
          <w:sz w:val="32"/>
          <w:szCs w:val="32"/>
        </w:rPr>
        <w:t>按照属地管理和“谁主管、谁负责”的原则，加强对各类群众文艺讲座、论坛、沙龙、读书会、演出展览、广场文化活动等的引导和管理，主动建立落实群众文艺内容管理自审、报审制度。各级文化馆要加强对馆办群众文艺报刊、出版物、网站等群众文艺阵地的管理。</w:t>
      </w:r>
    </w:p>
    <w:p>
      <w:pPr>
        <w:pStyle w:val="7"/>
        <w:spacing w:line="560" w:lineRule="exact"/>
        <w:ind w:firstLine="640"/>
        <w:rPr>
          <w:rFonts w:ascii="楷体" w:hAnsi="楷体" w:eastAsia="楷体" w:cs="仿宋"/>
          <w:color w:val="auto"/>
          <w:sz w:val="32"/>
          <w:szCs w:val="32"/>
        </w:rPr>
      </w:pPr>
      <w:r>
        <w:rPr>
          <w:rFonts w:hint="eastAsia" w:ascii="楷体" w:hAnsi="楷体" w:eastAsia="楷体" w:cs="仿宋"/>
          <w:color w:val="auto"/>
          <w:sz w:val="32"/>
          <w:szCs w:val="32"/>
        </w:rPr>
        <w:t>（二</w:t>
      </w:r>
      <w:r>
        <w:rPr>
          <w:rFonts w:ascii="楷体" w:hAnsi="楷体" w:eastAsia="楷体" w:cs="仿宋"/>
          <w:color w:val="auto"/>
          <w:sz w:val="32"/>
          <w:szCs w:val="32"/>
        </w:rPr>
        <w:t>）</w:t>
      </w:r>
      <w:r>
        <w:rPr>
          <w:rFonts w:hint="eastAsia" w:ascii="楷体" w:hAnsi="楷体" w:eastAsia="楷体" w:cs="仿宋"/>
          <w:color w:val="auto"/>
          <w:sz w:val="32"/>
          <w:szCs w:val="32"/>
        </w:rPr>
        <w:t>服务供给优化行动</w:t>
      </w:r>
    </w:p>
    <w:p>
      <w:pPr>
        <w:spacing w:line="560" w:lineRule="exact"/>
        <w:rPr>
          <w:rFonts w:ascii="仿宋" w:hAnsi="仿宋" w:eastAsia="仿宋" w:cs="仿宋"/>
          <w:color w:val="auto"/>
          <w:sz w:val="32"/>
          <w:szCs w:val="32"/>
        </w:rPr>
      </w:pPr>
      <w:r>
        <w:rPr>
          <w:rFonts w:ascii="仿宋" w:hAnsi="仿宋" w:eastAsia="仿宋" w:cs="仿宋"/>
          <w:color w:val="auto"/>
          <w:sz w:val="32"/>
          <w:szCs w:val="32"/>
        </w:rPr>
        <w:t xml:space="preserve">    </w:t>
      </w:r>
      <w:r>
        <w:rPr>
          <w:rFonts w:hint="eastAsia" w:ascii="仿宋" w:hAnsi="仿宋" w:eastAsia="仿宋" w:cs="仿宋"/>
          <w:color w:val="auto"/>
          <w:sz w:val="32"/>
          <w:szCs w:val="32"/>
        </w:rPr>
        <w:t>4</w:t>
      </w:r>
      <w:r>
        <w:rPr>
          <w:rFonts w:ascii="仿宋" w:hAnsi="仿宋" w:eastAsia="仿宋" w:cs="仿宋"/>
          <w:color w:val="auto"/>
          <w:sz w:val="32"/>
          <w:szCs w:val="32"/>
        </w:rPr>
        <w:t>.</w:t>
      </w:r>
      <w:r>
        <w:rPr>
          <w:rFonts w:hint="eastAsia" w:ascii="仿宋" w:hAnsi="仿宋" w:eastAsia="仿宋" w:cs="仿宋"/>
          <w:color w:val="auto"/>
          <w:sz w:val="32"/>
          <w:szCs w:val="32"/>
        </w:rPr>
        <w:t>健全基本服务项目。全面落实《四川省基本公共文化服务保障标准（</w:t>
      </w:r>
      <w:r>
        <w:rPr>
          <w:rFonts w:ascii="仿宋" w:hAnsi="仿宋" w:eastAsia="仿宋" w:cs="仿宋"/>
          <w:color w:val="auto"/>
          <w:sz w:val="32"/>
          <w:szCs w:val="32"/>
        </w:rPr>
        <w:t>2015-2020</w:t>
      </w:r>
      <w:r>
        <w:rPr>
          <w:rFonts w:hint="eastAsia" w:ascii="仿宋" w:hAnsi="仿宋" w:eastAsia="仿宋" w:cs="仿宋"/>
          <w:color w:val="auto"/>
          <w:sz w:val="32"/>
          <w:szCs w:val="32"/>
        </w:rPr>
        <w:t>年）》，建立实施标准动态调整机制。严格落实文化馆（站）免费开放政策，21个市（州）、183个县（区）所有文化馆要对外公布服务目录，设置基本服务项目，</w:t>
      </w:r>
      <w:r>
        <w:rPr>
          <w:rFonts w:hint="eastAsia" w:ascii="仿宋" w:hAnsi="仿宋" w:eastAsia="仿宋"/>
          <w:color w:val="auto"/>
          <w:sz w:val="32"/>
          <w:szCs w:val="32"/>
        </w:rPr>
        <w:t>重点打造特色艺术品牌。</w:t>
      </w:r>
      <w:r>
        <w:rPr>
          <w:rFonts w:hint="eastAsia" w:ascii="仿宋" w:hAnsi="仿宋" w:eastAsia="仿宋" w:cs="仿宋"/>
          <w:color w:val="auto"/>
          <w:sz w:val="32"/>
          <w:szCs w:val="32"/>
        </w:rPr>
        <w:t>建立免费开放公开制度，主动发布开放时间、开放内容和服务项目。逐步探索</w:t>
      </w:r>
      <w:r>
        <w:rPr>
          <w:rFonts w:hint="eastAsia" w:ascii="仿宋" w:hAnsi="仿宋" w:eastAsia="仿宋" w:cs="仿宋_GB2312"/>
          <w:color w:val="auto"/>
          <w:kern w:val="0"/>
          <w:sz w:val="32"/>
          <w:szCs w:val="32"/>
        </w:rPr>
        <w:t>省、市、县三级文化馆和</w:t>
      </w:r>
      <w:r>
        <w:rPr>
          <w:rFonts w:hint="eastAsia" w:ascii="仿宋" w:hAnsi="仿宋" w:eastAsia="仿宋" w:cs="仿宋"/>
          <w:color w:val="auto"/>
          <w:sz w:val="32"/>
          <w:szCs w:val="32"/>
        </w:rPr>
        <w:t>乡镇（街道）综合文化站、村（社区）文化活动室面向群众提供错时延时服务，为老年人、未成年人、残疾人、农民工、农村留守妇女儿童、生活困难群众等特殊群体提供对象化服务。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5</w:t>
      </w:r>
      <w:r>
        <w:rPr>
          <w:rFonts w:ascii="仿宋" w:hAnsi="仿宋" w:eastAsia="仿宋" w:cs="仿宋"/>
          <w:color w:val="auto"/>
          <w:sz w:val="32"/>
          <w:szCs w:val="32"/>
        </w:rPr>
        <w:t>.</w:t>
      </w:r>
      <w:r>
        <w:rPr>
          <w:rFonts w:hint="eastAsia" w:ascii="仿宋" w:hAnsi="仿宋" w:eastAsia="仿宋" w:cs="仿宋"/>
          <w:color w:val="auto"/>
          <w:sz w:val="32"/>
          <w:szCs w:val="32"/>
        </w:rPr>
        <w:t>畅通艺术普及渠道。</w:t>
      </w:r>
      <w:r>
        <w:rPr>
          <w:rFonts w:hint="eastAsia" w:ascii="仿宋" w:hAnsi="仿宋" w:eastAsia="仿宋" w:cs="仿宋_GB2312"/>
          <w:color w:val="auto"/>
          <w:kern w:val="0"/>
          <w:sz w:val="32"/>
          <w:szCs w:val="32"/>
        </w:rPr>
        <w:t>充分发挥省级文化馆全民艺术普及中心馆、市级文化馆区域性全民艺术普及指导中心、县级文化馆全民艺术普及基层阵地作用，开展不同层次、不同内容的全民艺术普及工作，各有侧重，相互衔接，形成艺术普及体系，常年举办公益性艺术讲座、展览和培训活动。以</w:t>
      </w:r>
      <w:r>
        <w:rPr>
          <w:rFonts w:hint="eastAsia" w:ascii="仿宋" w:hAnsi="仿宋" w:eastAsia="仿宋" w:cs="仿宋"/>
          <w:color w:val="auto"/>
          <w:sz w:val="32"/>
          <w:szCs w:val="32"/>
        </w:rPr>
        <w:t>县级文化馆为总馆，以乡镇（街道）综合文化站为分馆，以村（社区）文化活动室为基层服务点，加强对县域内文化活动、文艺创作、文艺辅导、送戏下乡、队伍培训及演出器材设备调配等方面的统筹协调，到</w:t>
      </w:r>
      <w:r>
        <w:rPr>
          <w:rFonts w:ascii="仿宋" w:hAnsi="仿宋" w:eastAsia="仿宋" w:cs="仿宋"/>
          <w:color w:val="auto"/>
          <w:sz w:val="32"/>
          <w:szCs w:val="32"/>
        </w:rPr>
        <w:t>20</w:t>
      </w:r>
      <w:r>
        <w:rPr>
          <w:rFonts w:hint="eastAsia" w:ascii="仿宋" w:hAnsi="仿宋" w:eastAsia="仿宋" w:cs="仿宋"/>
          <w:color w:val="auto"/>
          <w:sz w:val="32"/>
          <w:szCs w:val="32"/>
        </w:rPr>
        <w:t>22年在具备条件的地区建立起上下联通、服务优质、覆盖城乡的县级文化馆总分馆服务体系。各级各类文化馆以行业联盟形式开展馆际交流合作，推动公共文化资源有效整合和互联互通。</w:t>
      </w:r>
    </w:p>
    <w:p>
      <w:pPr>
        <w:spacing w:line="560" w:lineRule="exact"/>
        <w:ind w:firstLine="645"/>
        <w:rPr>
          <w:rFonts w:ascii="仿宋" w:hAnsi="仿宋" w:eastAsia="仿宋" w:cs="仿宋_GB2312"/>
          <w:color w:val="auto"/>
          <w:kern w:val="0"/>
          <w:sz w:val="32"/>
          <w:szCs w:val="32"/>
        </w:rPr>
      </w:pPr>
      <w:r>
        <w:rPr>
          <w:rFonts w:hint="eastAsia" w:ascii="仿宋" w:hAnsi="仿宋" w:eastAsia="仿宋" w:cs="仿宋"/>
          <w:color w:val="auto"/>
          <w:sz w:val="32"/>
          <w:szCs w:val="32"/>
        </w:rPr>
        <w:t>6</w:t>
      </w:r>
      <w:r>
        <w:rPr>
          <w:rFonts w:ascii="仿宋" w:hAnsi="仿宋" w:eastAsia="仿宋" w:cs="仿宋"/>
          <w:color w:val="auto"/>
          <w:sz w:val="32"/>
          <w:szCs w:val="32"/>
        </w:rPr>
        <w:t xml:space="preserve">. </w:t>
      </w:r>
      <w:r>
        <w:rPr>
          <w:rFonts w:hint="eastAsia" w:ascii="仿宋" w:hAnsi="仿宋" w:eastAsia="仿宋" w:cs="仿宋"/>
          <w:color w:val="auto"/>
          <w:sz w:val="32"/>
          <w:szCs w:val="32"/>
        </w:rPr>
        <w:t>打造</w:t>
      </w:r>
      <w:r>
        <w:rPr>
          <w:rFonts w:hint="eastAsia" w:ascii="仿宋" w:hAnsi="仿宋" w:eastAsia="仿宋" w:cs="宋体"/>
          <w:color w:val="auto"/>
          <w:kern w:val="0"/>
          <w:sz w:val="32"/>
          <w:szCs w:val="32"/>
        </w:rPr>
        <w:t>群众文艺品牌</w:t>
      </w:r>
      <w:r>
        <w:rPr>
          <w:rFonts w:hint="eastAsia" w:ascii="仿宋" w:hAnsi="仿宋" w:eastAsia="仿宋" w:cs="仿宋"/>
          <w:color w:val="auto"/>
          <w:sz w:val="32"/>
          <w:szCs w:val="32"/>
        </w:rPr>
        <w:t>。创新服务形式、服务内容和服务手段，整合全省各级文化馆资源，打造让广大群众具有认同感和归属感的群众文艺品牌。</w:t>
      </w:r>
      <w:r>
        <w:rPr>
          <w:rFonts w:hint="eastAsia" w:ascii="仿宋" w:hAnsi="仿宋" w:eastAsia="仿宋" w:cs="仿宋_GB2312"/>
          <w:color w:val="auto"/>
          <w:kern w:val="0"/>
          <w:sz w:val="32"/>
          <w:szCs w:val="32"/>
        </w:rPr>
        <w:t>办好四川群星奖比赛、四川乡村艺术节、四川少数民族艺术节等全省重大文化活动和赛事，</w:t>
      </w:r>
      <w:r>
        <w:rPr>
          <w:rFonts w:hint="eastAsia" w:ascii="仿宋" w:hAnsi="仿宋" w:eastAsia="仿宋" w:cs="仿宋"/>
          <w:color w:val="auto"/>
          <w:sz w:val="32"/>
          <w:szCs w:val="32"/>
        </w:rPr>
        <w:t>制度化、导向性的“出作品、出人才”</w:t>
      </w:r>
      <w:r>
        <w:rPr>
          <w:rFonts w:hint="eastAsia" w:ascii="仿宋" w:hAnsi="仿宋" w:eastAsia="仿宋" w:cs="仿宋_GB2312"/>
          <w:color w:val="auto"/>
          <w:kern w:val="0"/>
          <w:sz w:val="32"/>
          <w:szCs w:val="32"/>
        </w:rPr>
        <w:t>。依托</w:t>
      </w:r>
      <w:r>
        <w:rPr>
          <w:rFonts w:hint="eastAsia" w:ascii="仿宋" w:hAnsi="仿宋" w:eastAsia="仿宋" w:cs="仿宋"/>
          <w:color w:val="auto"/>
          <w:sz w:val="32"/>
          <w:szCs w:val="32"/>
        </w:rPr>
        <w:t>“四川省农民工原创文艺作品大赛”“西部民歌展演”“四川群文美术书法摄影展”、全省广场舞展演等特色群众文化活动</w:t>
      </w:r>
      <w:r>
        <w:rPr>
          <w:rFonts w:hint="eastAsia" w:ascii="仿宋" w:hAnsi="仿宋" w:eastAsia="仿宋" w:cs="仿宋_GB2312"/>
          <w:color w:val="auto"/>
          <w:kern w:val="0"/>
          <w:sz w:val="32"/>
          <w:szCs w:val="32"/>
        </w:rPr>
        <w:t>，形成影响力大、覆盖面宽、独具四川特色的群众文艺品牌。</w:t>
      </w:r>
    </w:p>
    <w:p>
      <w:pPr>
        <w:pStyle w:val="7"/>
        <w:spacing w:line="560" w:lineRule="exact"/>
        <w:ind w:firstLine="640"/>
        <w:rPr>
          <w:rFonts w:ascii="楷体" w:hAnsi="楷体" w:eastAsia="楷体" w:cs="仿宋"/>
          <w:color w:val="auto"/>
          <w:sz w:val="32"/>
          <w:szCs w:val="32"/>
        </w:rPr>
      </w:pPr>
      <w:r>
        <w:rPr>
          <w:rFonts w:hint="eastAsia" w:ascii="楷体" w:hAnsi="楷体" w:eastAsia="楷体" w:cs="仿宋"/>
          <w:color w:val="auto"/>
          <w:sz w:val="32"/>
          <w:szCs w:val="32"/>
        </w:rPr>
        <w:t>（三）服务模式创新行动</w:t>
      </w:r>
    </w:p>
    <w:p>
      <w:pPr>
        <w:widowControl/>
        <w:spacing w:line="540" w:lineRule="exact"/>
        <w:ind w:firstLine="800" w:firstLineChars="25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7.提升全民艺术普及技能。依据文化馆（站）基本服务项目和内容，推动全民艺术普及，提高基层公共文化服务效能，组织开展面向不同群体的文化艺术知识普及和培训服务，通过业务培训、技能比武及交流展示等形式，提升群众文艺工作者业务水平和服务能力；建立地方资源慕课库，实现全省艺术普及培训资源共建共享。</w:t>
      </w:r>
    </w:p>
    <w:p>
      <w:pPr>
        <w:spacing w:line="540" w:lineRule="exact"/>
        <w:ind w:firstLine="640" w:firstLineChars="200"/>
        <w:rPr>
          <w:rFonts w:ascii="仿宋" w:hAnsi="仿宋" w:eastAsia="仿宋" w:cs="宋体"/>
          <w:color w:val="auto"/>
          <w:kern w:val="0"/>
          <w:sz w:val="32"/>
          <w:szCs w:val="32"/>
        </w:rPr>
      </w:pPr>
      <w:r>
        <w:rPr>
          <w:rFonts w:hint="eastAsia" w:ascii="仿宋" w:hAnsi="仿宋" w:eastAsia="仿宋" w:cs="宋体"/>
          <w:color w:val="auto"/>
          <w:kern w:val="0"/>
          <w:sz w:val="32"/>
          <w:szCs w:val="32"/>
        </w:rPr>
        <w:t>8.实施青少年艺术普及项目。</w:t>
      </w:r>
      <w:r>
        <w:rPr>
          <w:rFonts w:hint="eastAsia" w:ascii="仿宋" w:hAnsi="仿宋" w:eastAsia="仿宋" w:cs="仿宋_GB2312"/>
          <w:color w:val="auto"/>
          <w:kern w:val="0"/>
          <w:sz w:val="32"/>
          <w:szCs w:val="32"/>
        </w:rPr>
        <w:t>在有条件的文化馆（站）试点设立“艺术普及教育基地”，推广青少年艺术普及。依托省文化馆资源和平台，建设四川省青少年儿童美术</w:t>
      </w:r>
      <w:r>
        <w:rPr>
          <w:rFonts w:hint="eastAsia" w:ascii="仿宋" w:hAnsi="仿宋" w:eastAsia="仿宋" w:cs="仿宋_GB2312"/>
          <w:color w:val="auto"/>
          <w:kern w:val="0"/>
          <w:sz w:val="32"/>
          <w:szCs w:val="32"/>
          <w:lang w:eastAsia="zh-CN"/>
        </w:rPr>
        <w:t>教育基地</w:t>
      </w:r>
      <w:r>
        <w:rPr>
          <w:rFonts w:hint="eastAsia" w:ascii="仿宋" w:hAnsi="仿宋" w:eastAsia="仿宋" w:cs="仿宋_GB2312"/>
          <w:color w:val="auto"/>
          <w:kern w:val="0"/>
          <w:sz w:val="32"/>
          <w:szCs w:val="32"/>
        </w:rPr>
        <w:t>，深入推进青少年儿童美术、</w:t>
      </w:r>
      <w:r>
        <w:rPr>
          <w:rFonts w:hint="eastAsia" w:ascii="仿宋" w:hAnsi="仿宋" w:eastAsia="仿宋" w:cs="宋体"/>
          <w:color w:val="auto"/>
          <w:kern w:val="0"/>
          <w:sz w:val="32"/>
          <w:szCs w:val="32"/>
        </w:rPr>
        <w:t>书法、摄影等艺术普及，大力培养美术、书法、摄影后备人才。</w:t>
      </w:r>
    </w:p>
    <w:p>
      <w:pPr>
        <w:widowControl/>
        <w:spacing w:line="540" w:lineRule="exact"/>
        <w:ind w:firstLine="800" w:firstLineChars="250"/>
        <w:jc w:val="left"/>
        <w:rPr>
          <w:rFonts w:ascii="仿宋" w:hAnsi="仿宋" w:eastAsia="仿宋" w:cs="仿宋_GB2312"/>
          <w:color w:val="auto"/>
          <w:kern w:val="0"/>
          <w:sz w:val="32"/>
          <w:szCs w:val="32"/>
        </w:rPr>
      </w:pPr>
      <w:r>
        <w:rPr>
          <w:rFonts w:hint="eastAsia" w:ascii="仿宋" w:hAnsi="仿宋" w:eastAsia="仿宋" w:cs="宋体"/>
          <w:color w:val="auto"/>
          <w:kern w:val="0"/>
          <w:sz w:val="32"/>
          <w:szCs w:val="32"/>
        </w:rPr>
        <w:t>9.搭建群众文艺交流平台。</w:t>
      </w:r>
      <w:r>
        <w:rPr>
          <w:rFonts w:hint="eastAsia" w:ascii="仿宋" w:hAnsi="仿宋" w:eastAsia="仿宋" w:cs="仿宋_GB2312"/>
          <w:color w:val="auto"/>
          <w:kern w:val="0"/>
          <w:sz w:val="32"/>
          <w:szCs w:val="32"/>
        </w:rPr>
        <w:t>建好全省文化馆联盟，夯实省文化馆全省中心馆、龙头馆地位，推动省内市（州）、县（市、区）文化馆之间的工作交流；依托四川对外文化交流项目，推动优秀群众文艺作品“走出去”，向世界讲好四川故事。主动通过中国文化馆年会和中国群星奖比赛等全国平台，积极利用部分省市文化馆‘百馆联动、“大河上下”黄河流域九省(区)艺术摄影展、西部民歌展演等省际群众文艺交流平台，开展省际间区域性群众文艺交流展示活动。</w:t>
      </w:r>
    </w:p>
    <w:p>
      <w:pPr>
        <w:pStyle w:val="7"/>
        <w:spacing w:line="560" w:lineRule="exact"/>
        <w:ind w:firstLine="640"/>
        <w:rPr>
          <w:rFonts w:ascii="楷体" w:hAnsi="楷体" w:eastAsia="楷体" w:cs="仿宋"/>
          <w:color w:val="auto"/>
          <w:sz w:val="32"/>
          <w:szCs w:val="32"/>
        </w:rPr>
      </w:pPr>
      <w:r>
        <w:rPr>
          <w:rFonts w:hint="eastAsia" w:ascii="楷体" w:hAnsi="楷体" w:eastAsia="楷体" w:cs="仿宋"/>
          <w:color w:val="auto"/>
          <w:sz w:val="32"/>
          <w:szCs w:val="32"/>
        </w:rPr>
        <w:t>（四）数字服务融合行动</w:t>
      </w:r>
    </w:p>
    <w:p>
      <w:pPr>
        <w:widowControl/>
        <w:spacing w:line="560" w:lineRule="exact"/>
        <w:ind w:firstLine="640" w:firstLineChars="200"/>
        <w:jc w:val="left"/>
        <w:rPr>
          <w:rFonts w:ascii="仿宋" w:hAnsi="仿宋" w:eastAsia="仿宋" w:cs="仿宋_GB2312"/>
          <w:color w:val="auto"/>
          <w:kern w:val="0"/>
          <w:sz w:val="32"/>
          <w:szCs w:val="32"/>
        </w:rPr>
      </w:pPr>
      <w:r>
        <w:rPr>
          <w:rFonts w:hint="eastAsia" w:ascii="仿宋" w:hAnsi="仿宋" w:eastAsia="仿宋" w:cs="仿宋"/>
          <w:color w:val="auto"/>
          <w:sz w:val="32"/>
          <w:szCs w:val="32"/>
        </w:rPr>
        <w:t>10.统筹平台建设。按照“智游天府”四川文化旅游公共服务平台项目的统一规划,</w:t>
      </w:r>
      <w:r>
        <w:rPr>
          <w:rFonts w:hint="eastAsia" w:ascii="仿宋" w:hAnsi="仿宋" w:eastAsia="仿宋" w:cs="仿宋_GB2312"/>
          <w:color w:val="auto"/>
          <w:kern w:val="0"/>
          <w:sz w:val="32"/>
          <w:szCs w:val="32"/>
        </w:rPr>
        <w:t>对全省群众文艺机构、队伍、作品及品牌项目等进行综合智能管理，提高群众文化设施的信息化、智能化水平，推动各类公共数字文化服务平台互联互通，建立“四川全民艺术普及精品库”、“四川群众艺术创作精品库”、“四川全民艺术普及师资库”</w:t>
      </w:r>
      <w:r>
        <w:rPr>
          <w:rFonts w:hint="eastAsia" w:ascii="仿宋" w:hAnsi="仿宋" w:eastAsia="仿宋" w:cs="仿宋"/>
          <w:color w:val="auto"/>
          <w:sz w:val="32"/>
          <w:szCs w:val="32"/>
        </w:rPr>
        <w:t>。到2022年，力争全省各级文化馆100%接入平台，实现全省所有文化馆的场馆、人员、设备、信息资讯、品牌活动、服务项目、艺术普及资源、培训课件、预约项目等在平台上统一展示和提供服务。</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xml:space="preserve">   11.统筹资源配置。加强中华优秀传统文化、红色革命文化、少数民族文化、地方特色文化等公共数字文化资源建设。</w:t>
      </w:r>
      <w:r>
        <w:rPr>
          <w:rFonts w:hint="eastAsia" w:ascii="仿宋" w:hAnsi="仿宋" w:eastAsia="仿宋" w:cs="仿宋_GB2312"/>
          <w:color w:val="auto"/>
          <w:kern w:val="0"/>
          <w:sz w:val="32"/>
          <w:szCs w:val="32"/>
        </w:rPr>
        <w:t>探索“互联网+群众文艺”创作与传播新模式，建好全省数字文化馆总分馆制战略联盟、天翼高清（IPTV）四川数字文化馆频道等群众文艺网络新平台，加强优秀作品传播。鼓励全省各级文化馆（站）制作全民艺术网络教学课件，通过网络创作传播优秀作品。</w:t>
      </w:r>
    </w:p>
    <w:p>
      <w:pPr>
        <w:pStyle w:val="4"/>
        <w:widowControl/>
        <w:spacing w:beforeAutospacing="0" w:afterAutospacing="0" w:line="560" w:lineRule="exact"/>
        <w:ind w:firstLine="640" w:firstLineChars="200"/>
        <w:rPr>
          <w:rFonts w:ascii="楷体" w:hAnsi="楷体" w:eastAsia="楷体"/>
          <w:color w:val="auto"/>
          <w:kern w:val="2"/>
          <w:sz w:val="32"/>
          <w:szCs w:val="32"/>
        </w:rPr>
      </w:pPr>
      <w:r>
        <w:rPr>
          <w:rFonts w:hint="eastAsia" w:ascii="楷体" w:hAnsi="楷体" w:eastAsia="楷体"/>
          <w:color w:val="auto"/>
          <w:kern w:val="2"/>
          <w:sz w:val="32"/>
          <w:szCs w:val="32"/>
        </w:rPr>
        <w:t>（五）人才队伍建设行动</w:t>
      </w:r>
    </w:p>
    <w:p>
      <w:pPr>
        <w:widowControl/>
        <w:spacing w:line="540" w:lineRule="exact"/>
        <w:ind w:firstLine="552"/>
        <w:jc w:val="left"/>
        <w:rPr>
          <w:rFonts w:ascii="仿宋" w:hAnsi="仿宋" w:eastAsia="仿宋" w:cs="仿宋_GB2312"/>
          <w:color w:val="auto"/>
          <w:kern w:val="0"/>
          <w:sz w:val="32"/>
          <w:szCs w:val="32"/>
        </w:rPr>
      </w:pPr>
      <w:r>
        <w:rPr>
          <w:rFonts w:hint="eastAsia" w:ascii="仿宋" w:hAnsi="仿宋" w:eastAsia="仿宋" w:cs="仿宋"/>
          <w:color w:val="auto"/>
          <w:sz w:val="32"/>
          <w:szCs w:val="32"/>
        </w:rPr>
        <w:t>12.全面</w:t>
      </w:r>
      <w:r>
        <w:rPr>
          <w:rFonts w:hint="eastAsia" w:ascii="仿宋" w:hAnsi="仿宋" w:eastAsia="仿宋" w:cs="宋体"/>
          <w:color w:val="auto"/>
          <w:kern w:val="0"/>
          <w:sz w:val="32"/>
          <w:szCs w:val="32"/>
        </w:rPr>
        <w:t>培训群众文艺骨干。</w:t>
      </w:r>
      <w:r>
        <w:rPr>
          <w:rFonts w:hint="eastAsia" w:ascii="仿宋" w:hAnsi="仿宋" w:eastAsia="仿宋" w:cs="仿宋_GB2312"/>
          <w:color w:val="auto"/>
          <w:kern w:val="0"/>
          <w:sz w:val="32"/>
          <w:szCs w:val="32"/>
        </w:rPr>
        <w:t>整合全省文化馆系统培训资源，建立全省艺术普及人才库、专家库。将省文化馆建设成全省群众文艺高端人才培训基地，用三年时间培养出一批群众文艺领军人才、一批群众文艺创作骨干。实施基层文化队伍培训计划，到2022年，对全省4500余名文化馆馆长、乡镇（街道）文化站站长进行一次全面培训。</w:t>
      </w:r>
    </w:p>
    <w:p>
      <w:pPr>
        <w:widowControl/>
        <w:spacing w:line="540" w:lineRule="exact"/>
        <w:ind w:firstLine="560"/>
        <w:jc w:val="left"/>
        <w:rPr>
          <w:rFonts w:ascii="仿宋" w:hAnsi="仿宋" w:eastAsia="仿宋" w:cs="宋体"/>
          <w:color w:val="auto"/>
          <w:kern w:val="0"/>
          <w:sz w:val="32"/>
          <w:szCs w:val="32"/>
        </w:rPr>
      </w:pPr>
      <w:r>
        <w:rPr>
          <w:rFonts w:hint="eastAsia" w:ascii="仿宋" w:hAnsi="仿宋" w:eastAsia="仿宋" w:cs="仿宋"/>
          <w:color w:val="auto"/>
          <w:sz w:val="32"/>
          <w:szCs w:val="32"/>
        </w:rPr>
        <w:t>13.</w:t>
      </w:r>
      <w:r>
        <w:rPr>
          <w:rFonts w:hint="eastAsia" w:ascii="仿宋" w:hAnsi="仿宋" w:eastAsia="仿宋" w:cs="宋体"/>
          <w:color w:val="auto"/>
          <w:kern w:val="0"/>
          <w:sz w:val="32"/>
          <w:szCs w:val="32"/>
        </w:rPr>
        <w:t>扶持优秀群众文艺团队。通过加强技能培训、搭建交流平台、评选示范团队等形式，培养一批长期活跃在基层、深受群众喜爱的优秀团队。到2022年，培育示范性群众文艺团队10个，文化馆馆办文艺团队50个，经常开展活动的群众业余文艺团队1000个。</w:t>
      </w:r>
    </w:p>
    <w:p>
      <w:pPr>
        <w:widowControl/>
        <w:snapToGrid w:val="0"/>
        <w:spacing w:line="560" w:lineRule="atLeast"/>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14.开展文旅志愿服务。在省文化馆设立四川省文化和旅游志愿服务总队，</w:t>
      </w:r>
      <w:r>
        <w:rPr>
          <w:rFonts w:hint="eastAsia" w:ascii="仿宋" w:hAnsi="仿宋" w:eastAsia="仿宋" w:cs="宋体"/>
          <w:color w:val="auto"/>
          <w:kern w:val="0"/>
          <w:sz w:val="32"/>
          <w:szCs w:val="32"/>
          <w:lang w:eastAsia="zh-CN"/>
        </w:rPr>
        <w:t>在市县组建文化和旅游志愿服务队伍</w:t>
      </w:r>
      <w:r>
        <w:rPr>
          <w:rFonts w:hint="eastAsia" w:ascii="仿宋" w:hAnsi="仿宋" w:eastAsia="仿宋" w:cs="宋体"/>
          <w:color w:val="auto"/>
          <w:kern w:val="0"/>
          <w:sz w:val="32"/>
          <w:szCs w:val="32"/>
        </w:rPr>
        <w:t>。</w:t>
      </w:r>
      <w:r>
        <w:rPr>
          <w:rFonts w:hint="eastAsia" w:ascii="仿宋" w:hAnsi="仿宋" w:eastAsia="仿宋" w:cs="仿宋_GB2312"/>
          <w:color w:val="auto"/>
          <w:kern w:val="0"/>
          <w:sz w:val="32"/>
          <w:szCs w:val="32"/>
        </w:rPr>
        <w:t>开展文化志愿者“帮村行动”，搭建文化志愿服务网络综合平台，建立全省文化志愿者信息库，继续开展“春雨工程”、“大地情深”、“阳光工程”，通过“大舞台”、“大讲坛”、“大展台”加大巴蜀文化宣传力度。</w:t>
      </w:r>
    </w:p>
    <w:p>
      <w:pPr>
        <w:pStyle w:val="4"/>
        <w:widowControl/>
        <w:spacing w:beforeAutospacing="0" w:afterAutospacing="0" w:line="560" w:lineRule="exact"/>
        <w:ind w:firstLine="640" w:firstLineChars="200"/>
        <w:rPr>
          <w:rFonts w:ascii="楷体" w:hAnsi="楷体" w:eastAsia="楷体"/>
          <w:color w:val="auto"/>
          <w:kern w:val="2"/>
          <w:sz w:val="32"/>
          <w:szCs w:val="32"/>
        </w:rPr>
      </w:pPr>
      <w:r>
        <w:rPr>
          <w:rFonts w:hint="eastAsia" w:ascii="楷体" w:hAnsi="楷体" w:eastAsia="楷体"/>
          <w:color w:val="auto"/>
          <w:kern w:val="2"/>
          <w:sz w:val="32"/>
          <w:szCs w:val="32"/>
        </w:rPr>
        <w:t>（六）深化体制改革行动</w:t>
      </w:r>
    </w:p>
    <w:p>
      <w:pPr>
        <w:ind w:firstLine="640" w:firstLineChars="200"/>
        <w:rPr>
          <w:rFonts w:ascii="仿宋" w:hAnsi="仿宋" w:eastAsia="仿宋" w:cs="宋体"/>
          <w:color w:val="auto"/>
          <w:kern w:val="0"/>
          <w:sz w:val="32"/>
          <w:szCs w:val="32"/>
        </w:rPr>
      </w:pPr>
      <w:r>
        <w:rPr>
          <w:rFonts w:hint="eastAsia" w:ascii="仿宋" w:hAnsi="仿宋" w:eastAsia="仿宋" w:cs="宋体"/>
          <w:color w:val="auto"/>
          <w:kern w:val="0"/>
          <w:sz w:val="32"/>
          <w:szCs w:val="32"/>
        </w:rPr>
        <w:t>15.县级文化馆总分馆制试点。加快实施县级文化馆总分馆制建设，择优分批开展县级</w:t>
      </w:r>
      <w:r>
        <w:rPr>
          <w:rFonts w:hint="eastAsia" w:ascii="仿宋" w:hAnsi="仿宋" w:eastAsia="仿宋" w:cs="宋体"/>
          <w:color w:val="auto"/>
          <w:kern w:val="0"/>
          <w:sz w:val="32"/>
          <w:szCs w:val="32"/>
          <w:lang w:eastAsia="zh-CN"/>
        </w:rPr>
        <w:t>文化馆</w:t>
      </w:r>
      <w:r>
        <w:rPr>
          <w:rFonts w:hint="eastAsia" w:ascii="仿宋" w:hAnsi="仿宋" w:eastAsia="仿宋" w:cs="宋体"/>
          <w:color w:val="auto"/>
          <w:kern w:val="0"/>
          <w:sz w:val="32"/>
          <w:szCs w:val="32"/>
        </w:rPr>
        <w:t>总分馆制试点，将民办性质的县级文化馆分馆面向社会提供的免费或低收费服务纳入政府购买服务范围。到2022年，推动省内县（市、区）三级以上文化馆全面完成总分馆制建设。</w:t>
      </w:r>
    </w:p>
    <w:p>
      <w:pPr>
        <w:spacing w:line="560" w:lineRule="exact"/>
        <w:ind w:firstLine="640" w:firstLineChars="200"/>
        <w:rPr>
          <w:rFonts w:ascii="仿宋" w:hAnsi="仿宋" w:eastAsia="仿宋" w:cs="宋体"/>
          <w:color w:val="auto"/>
          <w:kern w:val="0"/>
          <w:sz w:val="32"/>
          <w:szCs w:val="32"/>
        </w:rPr>
      </w:pPr>
      <w:r>
        <w:rPr>
          <w:rFonts w:hint="eastAsia" w:ascii="仿宋" w:hAnsi="仿宋" w:eastAsia="仿宋" w:cs="宋体"/>
          <w:color w:val="auto"/>
          <w:kern w:val="0"/>
          <w:sz w:val="32"/>
          <w:szCs w:val="32"/>
        </w:rPr>
        <w:t>16.法人治理结构改革试点。推动市（州）一级以上文化馆基本建成以理事会为主要形式的法人治理结构，落实法人自主权，健全决策、执行和监督机制。做到“理事组成社会化、运行管理开放化、管理约束制度化、理事活动常规化、文化服务多元化”。</w:t>
      </w:r>
    </w:p>
    <w:p>
      <w:pPr>
        <w:ind w:firstLine="640" w:firstLineChars="200"/>
        <w:rPr>
          <w:rFonts w:ascii="仿宋" w:hAnsi="仿宋" w:eastAsia="仿宋" w:cs="宋体"/>
          <w:color w:val="auto"/>
          <w:kern w:val="0"/>
          <w:sz w:val="32"/>
          <w:szCs w:val="32"/>
        </w:rPr>
      </w:pPr>
      <w:r>
        <w:rPr>
          <w:rFonts w:hint="eastAsia" w:ascii="仿宋" w:hAnsi="仿宋" w:eastAsia="仿宋" w:cs="宋体"/>
          <w:color w:val="auto"/>
          <w:kern w:val="0"/>
          <w:sz w:val="32"/>
          <w:szCs w:val="32"/>
        </w:rPr>
        <w:t>17.政府购买公共文化服务示范项目。推进政府向社会力量购买公共文化服务示范项目，将公益性数字文化产品的制作与传播、公益性文化艺术作品展览、公益性全民艺术普及培训讲座、公益性文化艺术活动（含戏曲）的组织与承办、原创公益性舞台艺术作品的演出与宣传等项目纳入政府购买服务范围。</w:t>
      </w: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rPr>
          <w:color w:val="auto"/>
        </w:rPr>
      </w:pPr>
    </w:p>
    <w:p>
      <w:pPr>
        <w:pStyle w:val="2"/>
        <w:rPr>
          <w:color w:val="auto"/>
        </w:rPr>
      </w:pPr>
    </w:p>
    <w:p>
      <w:pPr>
        <w:spacing w:line="560" w:lineRule="exact"/>
        <w:rPr>
          <w:rFonts w:hint="eastAsia" w:ascii="黑体" w:hAnsi="黑体" w:eastAsia="黑体" w:cs="黑体"/>
          <w:b/>
          <w:bCs/>
          <w:color w:val="auto"/>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spacing w:line="560" w:lineRule="exact"/>
        <w:rPr>
          <w:rFonts w:ascii="黑体" w:hAnsi="黑体" w:eastAsia="黑体" w:cs="黑体"/>
          <w:b/>
          <w:bCs/>
          <w:color w:val="auto"/>
          <w:sz w:val="32"/>
          <w:szCs w:val="32"/>
        </w:rPr>
      </w:pPr>
      <w:r>
        <w:rPr>
          <w:rFonts w:hint="eastAsia" w:ascii="黑体" w:hAnsi="黑体" w:eastAsia="黑体" w:cs="黑体"/>
          <w:b/>
          <w:bCs/>
          <w:color w:val="auto"/>
          <w:sz w:val="32"/>
          <w:szCs w:val="32"/>
        </w:rPr>
        <w:t>附件</w:t>
      </w:r>
    </w:p>
    <w:p>
      <w:pPr>
        <w:spacing w:line="560" w:lineRule="exact"/>
        <w:jc w:val="center"/>
        <w:rPr>
          <w:rFonts w:ascii="宋体" w:hAnsi="宋体" w:cs="宋体"/>
          <w:b/>
          <w:bCs/>
          <w:color w:val="auto"/>
          <w:sz w:val="32"/>
          <w:szCs w:val="32"/>
        </w:rPr>
      </w:pPr>
    </w:p>
    <w:p>
      <w:pPr>
        <w:spacing w:line="560" w:lineRule="exact"/>
        <w:jc w:val="center"/>
        <w:rPr>
          <w:rFonts w:ascii="宋体" w:cs="宋体"/>
          <w:b/>
          <w:bCs/>
          <w:color w:val="auto"/>
          <w:sz w:val="32"/>
          <w:szCs w:val="32"/>
        </w:rPr>
      </w:pPr>
      <w:r>
        <w:rPr>
          <w:rFonts w:hint="eastAsia" w:ascii="宋体" w:hAnsi="宋体" w:cs="宋体"/>
          <w:b/>
          <w:bCs/>
          <w:color w:val="auto"/>
          <w:sz w:val="32"/>
          <w:szCs w:val="32"/>
        </w:rPr>
        <w:t>全省文化馆（站）效能提升行动主要指标</w:t>
      </w:r>
    </w:p>
    <w:tbl>
      <w:tblPr>
        <w:tblStyle w:val="5"/>
        <w:tblW w:w="9150"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795"/>
        <w:gridCol w:w="2865"/>
        <w:gridCol w:w="1110"/>
        <w:gridCol w:w="1275"/>
        <w:gridCol w:w="126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95" w:type="dxa"/>
            <w:vAlign w:val="center"/>
          </w:tcPr>
          <w:p>
            <w:pPr>
              <w:spacing w:line="360" w:lineRule="exact"/>
              <w:jc w:val="center"/>
              <w:rPr>
                <w:rFonts w:ascii="宋体" w:cs="宋体"/>
                <w:b/>
                <w:bCs/>
                <w:color w:val="auto"/>
                <w:sz w:val="28"/>
                <w:szCs w:val="28"/>
              </w:rPr>
            </w:pPr>
            <w:r>
              <w:rPr>
                <w:rFonts w:hint="eastAsia" w:ascii="宋体" w:hAnsi="宋体" w:cs="宋体"/>
                <w:b/>
                <w:bCs/>
                <w:color w:val="auto"/>
                <w:sz w:val="28"/>
                <w:szCs w:val="28"/>
              </w:rPr>
              <w:t>类别</w:t>
            </w:r>
          </w:p>
        </w:tc>
        <w:tc>
          <w:tcPr>
            <w:tcW w:w="795" w:type="dxa"/>
            <w:vAlign w:val="center"/>
          </w:tcPr>
          <w:p>
            <w:pPr>
              <w:spacing w:line="360" w:lineRule="exact"/>
              <w:jc w:val="center"/>
              <w:rPr>
                <w:rFonts w:ascii="宋体" w:hAnsi="宋体" w:eastAsia="宋体" w:cs="宋体"/>
                <w:b/>
                <w:bCs/>
                <w:color w:val="auto"/>
                <w:sz w:val="28"/>
                <w:szCs w:val="28"/>
              </w:rPr>
            </w:pPr>
            <w:r>
              <w:rPr>
                <w:rFonts w:hint="eastAsia" w:ascii="宋体" w:hAnsi="宋体" w:cs="宋体"/>
                <w:b/>
                <w:bCs/>
                <w:color w:val="auto"/>
                <w:sz w:val="28"/>
                <w:szCs w:val="28"/>
              </w:rPr>
              <w:t>序号</w:t>
            </w:r>
          </w:p>
        </w:tc>
        <w:tc>
          <w:tcPr>
            <w:tcW w:w="2865" w:type="dxa"/>
            <w:vAlign w:val="center"/>
          </w:tcPr>
          <w:p>
            <w:pPr>
              <w:spacing w:line="360" w:lineRule="exact"/>
              <w:jc w:val="center"/>
              <w:rPr>
                <w:rFonts w:ascii="宋体" w:cs="宋体"/>
                <w:b/>
                <w:bCs/>
                <w:color w:val="auto"/>
                <w:sz w:val="28"/>
                <w:szCs w:val="28"/>
              </w:rPr>
            </w:pPr>
            <w:r>
              <w:rPr>
                <w:rFonts w:hint="eastAsia" w:ascii="宋体" w:hAnsi="宋体" w:cs="宋体"/>
                <w:b/>
                <w:bCs/>
                <w:color w:val="auto"/>
                <w:sz w:val="28"/>
                <w:szCs w:val="28"/>
              </w:rPr>
              <w:t>主要指标</w:t>
            </w:r>
          </w:p>
        </w:tc>
        <w:tc>
          <w:tcPr>
            <w:tcW w:w="1110" w:type="dxa"/>
            <w:vAlign w:val="center"/>
          </w:tcPr>
          <w:p>
            <w:pPr>
              <w:spacing w:line="360" w:lineRule="exact"/>
              <w:jc w:val="center"/>
              <w:rPr>
                <w:rFonts w:ascii="宋体" w:hAnsi="宋体" w:cs="宋体"/>
                <w:b/>
                <w:bCs/>
                <w:color w:val="auto"/>
                <w:sz w:val="28"/>
                <w:szCs w:val="28"/>
              </w:rPr>
            </w:pPr>
            <w:r>
              <w:rPr>
                <w:rFonts w:hint="eastAsia" w:ascii="黑体" w:hAnsi="黑体" w:eastAsia="黑体" w:cs="黑体"/>
                <w:color w:val="auto"/>
                <w:sz w:val="28"/>
                <w:szCs w:val="28"/>
              </w:rPr>
              <w:t>单位</w:t>
            </w:r>
          </w:p>
        </w:tc>
        <w:tc>
          <w:tcPr>
            <w:tcW w:w="1275" w:type="dxa"/>
            <w:vAlign w:val="center"/>
          </w:tcPr>
          <w:p>
            <w:pPr>
              <w:spacing w:line="360" w:lineRule="exact"/>
              <w:jc w:val="center"/>
              <w:rPr>
                <w:rFonts w:ascii="宋体" w:cs="宋体"/>
                <w:b/>
                <w:bCs/>
                <w:color w:val="auto"/>
                <w:sz w:val="28"/>
                <w:szCs w:val="28"/>
              </w:rPr>
            </w:pPr>
            <w:r>
              <w:rPr>
                <w:rFonts w:ascii="宋体" w:hAnsi="宋体" w:cs="宋体"/>
                <w:b/>
                <w:bCs/>
                <w:color w:val="auto"/>
                <w:sz w:val="28"/>
                <w:szCs w:val="28"/>
              </w:rPr>
              <w:t>201</w:t>
            </w:r>
            <w:r>
              <w:rPr>
                <w:rFonts w:hint="eastAsia" w:ascii="宋体" w:hAnsi="宋体" w:cs="宋体"/>
                <w:b/>
                <w:bCs/>
                <w:color w:val="auto"/>
                <w:sz w:val="28"/>
                <w:szCs w:val="28"/>
              </w:rPr>
              <w:t>8年</w:t>
            </w:r>
          </w:p>
        </w:tc>
        <w:tc>
          <w:tcPr>
            <w:tcW w:w="1260" w:type="dxa"/>
            <w:vAlign w:val="center"/>
          </w:tcPr>
          <w:p>
            <w:pPr>
              <w:spacing w:line="360" w:lineRule="exact"/>
              <w:jc w:val="center"/>
              <w:rPr>
                <w:rFonts w:ascii="宋体" w:cs="宋体"/>
                <w:b/>
                <w:bCs/>
                <w:color w:val="auto"/>
                <w:sz w:val="28"/>
                <w:szCs w:val="28"/>
              </w:rPr>
            </w:pPr>
            <w:r>
              <w:rPr>
                <w:rFonts w:ascii="宋体" w:hAnsi="宋体" w:cs="宋体"/>
                <w:b/>
                <w:bCs/>
                <w:color w:val="auto"/>
                <w:sz w:val="28"/>
                <w:szCs w:val="28"/>
              </w:rPr>
              <w:t>202</w:t>
            </w:r>
            <w:r>
              <w:rPr>
                <w:rFonts w:hint="eastAsia" w:ascii="宋体" w:hAnsi="宋体" w:cs="宋体"/>
                <w:b/>
                <w:bCs/>
                <w:color w:val="auto"/>
                <w:sz w:val="28"/>
                <w:szCs w:val="28"/>
              </w:rPr>
              <w:t>2年</w:t>
            </w:r>
          </w:p>
        </w:tc>
        <w:tc>
          <w:tcPr>
            <w:tcW w:w="1050" w:type="dxa"/>
            <w:vAlign w:val="center"/>
          </w:tcPr>
          <w:p>
            <w:pPr>
              <w:spacing w:line="360" w:lineRule="exact"/>
              <w:jc w:val="center"/>
              <w:rPr>
                <w:rFonts w:ascii="宋体" w:cs="宋体"/>
                <w:b/>
                <w:bCs/>
                <w:color w:val="auto"/>
                <w:sz w:val="28"/>
                <w:szCs w:val="28"/>
              </w:rPr>
            </w:pPr>
            <w:r>
              <w:rPr>
                <w:rFonts w:hint="eastAsia" w:ascii="宋体" w:hAnsi="宋体" w:cs="宋体"/>
                <w:b/>
                <w:bCs/>
                <w:color w:val="auto"/>
                <w:sz w:val="28"/>
                <w:szCs w:val="28"/>
              </w:rPr>
              <w:t>增幅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95" w:type="dxa"/>
            <w:vMerge w:val="restart"/>
            <w:vAlign w:val="center"/>
          </w:tcPr>
          <w:p>
            <w:pPr>
              <w:spacing w:line="480" w:lineRule="exact"/>
              <w:jc w:val="center"/>
              <w:rPr>
                <w:rFonts w:ascii="仿宋_GB2312" w:hAnsi="仿宋_GB2312" w:eastAsia="仿宋_GB2312" w:cs="仿宋_GB2312"/>
                <w:color w:val="auto"/>
                <w:sz w:val="28"/>
                <w:szCs w:val="28"/>
              </w:rPr>
            </w:pPr>
            <w:r>
              <w:rPr>
                <w:rFonts w:hint="eastAsia" w:ascii="仿宋" w:hAnsi="仿宋" w:eastAsia="仿宋" w:cs="仿宋_GB2312"/>
                <w:color w:val="auto"/>
                <w:sz w:val="28"/>
                <w:szCs w:val="28"/>
              </w:rPr>
              <w:t>综合</w:t>
            </w:r>
          </w:p>
        </w:tc>
        <w:tc>
          <w:tcPr>
            <w:tcW w:w="795" w:type="dxa"/>
            <w:vAlign w:val="center"/>
          </w:tcPr>
          <w:p>
            <w:pPr>
              <w:spacing w:line="480" w:lineRule="exact"/>
              <w:jc w:val="center"/>
              <w:rPr>
                <w:rFonts w:ascii="仿宋_GB2312" w:hAnsi="仿宋_GB2312" w:eastAsia="仿宋_GB2312" w:cs="仿宋_GB2312"/>
                <w:color w:val="auto"/>
                <w:sz w:val="28"/>
                <w:szCs w:val="28"/>
              </w:rPr>
            </w:pPr>
            <w:r>
              <w:rPr>
                <w:rFonts w:hint="eastAsia" w:ascii="仿宋" w:hAnsi="仿宋" w:eastAsia="仿宋" w:cs="仿宋_GB2312"/>
                <w:color w:val="auto"/>
                <w:sz w:val="28"/>
                <w:szCs w:val="28"/>
              </w:rPr>
              <w:t>1</w:t>
            </w:r>
          </w:p>
        </w:tc>
        <w:tc>
          <w:tcPr>
            <w:tcW w:w="2865" w:type="dxa"/>
            <w:vAlign w:val="center"/>
          </w:tcPr>
          <w:p>
            <w:pPr>
              <w:spacing w:line="480" w:lineRule="exact"/>
              <w:jc w:val="center"/>
              <w:rPr>
                <w:rFonts w:ascii="仿宋_GB2312" w:hAnsi="仿宋_GB2312" w:eastAsia="仿宋_GB2312" w:cs="仿宋_GB2312"/>
                <w:color w:val="auto"/>
                <w:sz w:val="28"/>
                <w:szCs w:val="28"/>
              </w:rPr>
            </w:pPr>
            <w:r>
              <w:rPr>
                <w:rFonts w:hint="eastAsia" w:ascii="仿宋" w:hAnsi="仿宋" w:eastAsia="仿宋" w:cs="仿宋_GB2312"/>
                <w:color w:val="auto"/>
                <w:sz w:val="28"/>
                <w:szCs w:val="28"/>
              </w:rPr>
              <w:t>上等级文化馆数量</w:t>
            </w:r>
          </w:p>
        </w:tc>
        <w:tc>
          <w:tcPr>
            <w:tcW w:w="1110" w:type="dxa"/>
            <w:vAlign w:val="center"/>
          </w:tcPr>
          <w:p>
            <w:pPr>
              <w:spacing w:line="480" w:lineRule="exact"/>
              <w:jc w:val="center"/>
              <w:rPr>
                <w:rFonts w:ascii="仿宋_GB2312" w:hAnsi="仿宋_GB2312" w:eastAsia="仿宋_GB2312" w:cs="仿宋_GB2312"/>
                <w:color w:val="auto"/>
                <w:sz w:val="28"/>
                <w:szCs w:val="28"/>
              </w:rPr>
            </w:pPr>
            <w:r>
              <w:rPr>
                <w:rFonts w:hint="eastAsia" w:ascii="仿宋" w:hAnsi="仿宋" w:eastAsia="仿宋" w:cs="仿宋_GB2312"/>
                <w:color w:val="auto"/>
                <w:sz w:val="28"/>
                <w:szCs w:val="28"/>
              </w:rPr>
              <w:t>个</w:t>
            </w:r>
          </w:p>
        </w:tc>
        <w:tc>
          <w:tcPr>
            <w:tcW w:w="1275" w:type="dxa"/>
            <w:vAlign w:val="center"/>
          </w:tcPr>
          <w:p>
            <w:pPr>
              <w:spacing w:line="480" w:lineRule="exact"/>
              <w:jc w:val="center"/>
              <w:rPr>
                <w:rFonts w:ascii="仿宋_GB2312" w:hAnsi="仿宋_GB2312" w:eastAsia="仿宋_GB2312" w:cs="仿宋_GB2312"/>
                <w:color w:val="auto"/>
                <w:sz w:val="28"/>
                <w:szCs w:val="28"/>
              </w:rPr>
            </w:pPr>
            <w:r>
              <w:rPr>
                <w:rFonts w:hint="eastAsia" w:ascii="仿宋" w:hAnsi="仿宋" w:eastAsia="仿宋" w:cs="仿宋_GB2312"/>
                <w:color w:val="auto"/>
                <w:sz w:val="28"/>
                <w:szCs w:val="28"/>
              </w:rPr>
              <w:t>149</w:t>
            </w:r>
          </w:p>
        </w:tc>
        <w:tc>
          <w:tcPr>
            <w:tcW w:w="1260" w:type="dxa"/>
            <w:vAlign w:val="center"/>
          </w:tcPr>
          <w:p>
            <w:pPr>
              <w:spacing w:line="4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175</w:t>
            </w:r>
          </w:p>
        </w:tc>
        <w:tc>
          <w:tcPr>
            <w:tcW w:w="1050" w:type="dxa"/>
            <w:vAlign w:val="center"/>
          </w:tcPr>
          <w:p>
            <w:pPr>
              <w:spacing w:line="480" w:lineRule="exact"/>
              <w:jc w:val="center"/>
              <w:rPr>
                <w:rFonts w:ascii="仿宋_GB2312" w:hAnsi="仿宋_GB2312" w:eastAsia="仿宋_GB2312" w:cs="仿宋_GB2312"/>
                <w:color w:val="auto"/>
                <w:sz w:val="28"/>
                <w:szCs w:val="28"/>
              </w:rPr>
            </w:pPr>
            <w:r>
              <w:rPr>
                <w:rFonts w:hint="eastAsia" w:ascii="仿宋" w:hAnsi="仿宋" w:eastAsia="仿宋" w:cs="仿宋_GB2312"/>
                <w:color w:val="auto"/>
                <w:sz w:val="28"/>
                <w:szCs w:val="28"/>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95" w:type="dxa"/>
            <w:vMerge w:val="continue"/>
            <w:vAlign w:val="center"/>
          </w:tcPr>
          <w:p>
            <w:pPr>
              <w:spacing w:line="480" w:lineRule="exact"/>
              <w:jc w:val="center"/>
              <w:rPr>
                <w:rFonts w:ascii="仿宋" w:hAnsi="仿宋" w:eastAsia="仿宋" w:cs="仿宋_GB2312"/>
                <w:color w:val="auto"/>
                <w:sz w:val="28"/>
                <w:szCs w:val="28"/>
              </w:rPr>
            </w:pPr>
          </w:p>
        </w:tc>
        <w:tc>
          <w:tcPr>
            <w:tcW w:w="795" w:type="dxa"/>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2</w:t>
            </w:r>
          </w:p>
        </w:tc>
        <w:tc>
          <w:tcPr>
            <w:tcW w:w="2865" w:type="dxa"/>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乡镇文化站达标率</w:t>
            </w:r>
          </w:p>
        </w:tc>
        <w:tc>
          <w:tcPr>
            <w:tcW w:w="1110" w:type="dxa"/>
            <w:vAlign w:val="center"/>
          </w:tcPr>
          <w:p>
            <w:pPr>
              <w:spacing w:line="480" w:lineRule="exact"/>
              <w:jc w:val="center"/>
              <w:rPr>
                <w:rFonts w:ascii="仿宋" w:hAnsi="仿宋" w:eastAsia="仿宋" w:cs="仿宋_GB2312"/>
                <w:color w:val="auto"/>
                <w:sz w:val="28"/>
                <w:szCs w:val="28"/>
              </w:rPr>
            </w:pPr>
          </w:p>
        </w:tc>
        <w:tc>
          <w:tcPr>
            <w:tcW w:w="1275" w:type="dxa"/>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75.1%</w:t>
            </w:r>
          </w:p>
        </w:tc>
        <w:tc>
          <w:tcPr>
            <w:tcW w:w="1260" w:type="dxa"/>
            <w:vAlign w:val="center"/>
          </w:tcPr>
          <w:p>
            <w:pPr>
              <w:spacing w:line="4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90%</w:t>
            </w:r>
          </w:p>
        </w:tc>
        <w:tc>
          <w:tcPr>
            <w:tcW w:w="1050" w:type="dxa"/>
            <w:vAlign w:val="center"/>
          </w:tcPr>
          <w:p>
            <w:pPr>
              <w:spacing w:line="480" w:lineRule="exact"/>
              <w:jc w:val="center"/>
              <w:rPr>
                <w:rFonts w:ascii="仿宋" w:hAnsi="仿宋" w:eastAsia="仿宋" w:cs="仿宋_GB2312"/>
                <w:color w:val="auto"/>
                <w:sz w:val="28"/>
                <w:szCs w:val="28"/>
              </w:rPr>
            </w:pPr>
            <w:r>
              <w:rPr>
                <w:rFonts w:hint="eastAsia" w:ascii="仿宋" w:hAnsi="仿宋" w:eastAsia="仿宋" w:cs="仿宋_GB2312"/>
                <w:color w:val="auto"/>
                <w:sz w:val="28"/>
                <w:szCs w:val="28"/>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95" w:type="dxa"/>
            <w:vMerge w:val="restart"/>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阵地建设</w:t>
            </w:r>
          </w:p>
        </w:tc>
        <w:tc>
          <w:tcPr>
            <w:tcW w:w="795"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2865"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每万人群众文化</w:t>
            </w:r>
          </w:p>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设施面积</w:t>
            </w:r>
          </w:p>
        </w:tc>
        <w:tc>
          <w:tcPr>
            <w:tcW w:w="1110"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平方米</w:t>
            </w:r>
          </w:p>
        </w:tc>
        <w:tc>
          <w:tcPr>
            <w:tcW w:w="1275"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271.85</w:t>
            </w:r>
          </w:p>
        </w:tc>
        <w:tc>
          <w:tcPr>
            <w:tcW w:w="1260"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315</w:t>
            </w:r>
          </w:p>
        </w:tc>
        <w:tc>
          <w:tcPr>
            <w:tcW w:w="1050"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15.9</w:t>
            </w:r>
            <w:r>
              <w:rPr>
                <w:rFonts w:ascii="仿宋_GB2312" w:hAnsi="仿宋_GB2312" w:eastAsia="仿宋_GB2312" w:cs="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95" w:type="dxa"/>
            <w:vMerge w:val="continue"/>
            <w:vAlign w:val="center"/>
          </w:tcPr>
          <w:p>
            <w:pPr>
              <w:spacing w:line="300" w:lineRule="exact"/>
              <w:jc w:val="center"/>
              <w:rPr>
                <w:rFonts w:ascii="仿宋_GB2312" w:hAnsi="仿宋_GB2312" w:eastAsia="仿宋_GB2312" w:cs="仿宋_GB2312"/>
                <w:color w:val="auto"/>
                <w:sz w:val="28"/>
                <w:szCs w:val="28"/>
              </w:rPr>
            </w:pPr>
          </w:p>
        </w:tc>
        <w:tc>
          <w:tcPr>
            <w:tcW w:w="795"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2865"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人均群众文化业</w:t>
            </w:r>
          </w:p>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务活动专项经费</w:t>
            </w:r>
          </w:p>
        </w:tc>
        <w:tc>
          <w:tcPr>
            <w:tcW w:w="1110"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元</w:t>
            </w:r>
          </w:p>
        </w:tc>
        <w:tc>
          <w:tcPr>
            <w:tcW w:w="1275"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6.31</w:t>
            </w:r>
          </w:p>
        </w:tc>
        <w:tc>
          <w:tcPr>
            <w:tcW w:w="1260"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7.12</w:t>
            </w:r>
          </w:p>
        </w:tc>
        <w:tc>
          <w:tcPr>
            <w:tcW w:w="1050"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95" w:type="dxa"/>
            <w:vMerge w:val="restart"/>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服务效能</w:t>
            </w:r>
          </w:p>
        </w:tc>
        <w:tc>
          <w:tcPr>
            <w:tcW w:w="795"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p>
        </w:tc>
        <w:tc>
          <w:tcPr>
            <w:tcW w:w="2865"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文化服务惠及人次</w:t>
            </w:r>
          </w:p>
        </w:tc>
        <w:tc>
          <w:tcPr>
            <w:tcW w:w="1110"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万人次</w:t>
            </w:r>
          </w:p>
        </w:tc>
        <w:tc>
          <w:tcPr>
            <w:tcW w:w="1275"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1804</w:t>
            </w:r>
          </w:p>
        </w:tc>
        <w:tc>
          <w:tcPr>
            <w:tcW w:w="1260"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2000</w:t>
            </w:r>
          </w:p>
        </w:tc>
        <w:tc>
          <w:tcPr>
            <w:tcW w:w="1050"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95" w:type="dxa"/>
            <w:vMerge w:val="continue"/>
            <w:vAlign w:val="center"/>
          </w:tcPr>
          <w:p>
            <w:pPr>
              <w:spacing w:line="300" w:lineRule="exact"/>
              <w:jc w:val="center"/>
              <w:rPr>
                <w:rFonts w:ascii="仿宋_GB2312" w:hAnsi="仿宋_GB2312" w:eastAsia="仿宋_GB2312" w:cs="仿宋_GB2312"/>
                <w:color w:val="auto"/>
                <w:sz w:val="28"/>
                <w:szCs w:val="28"/>
              </w:rPr>
            </w:pPr>
          </w:p>
        </w:tc>
        <w:tc>
          <w:tcPr>
            <w:tcW w:w="795"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p>
        </w:tc>
        <w:tc>
          <w:tcPr>
            <w:tcW w:w="2865"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组织文艺活动次数</w:t>
            </w:r>
          </w:p>
        </w:tc>
        <w:tc>
          <w:tcPr>
            <w:tcW w:w="1110"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次</w:t>
            </w:r>
          </w:p>
        </w:tc>
        <w:tc>
          <w:tcPr>
            <w:tcW w:w="1275"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77234</w:t>
            </w:r>
          </w:p>
        </w:tc>
        <w:tc>
          <w:tcPr>
            <w:tcW w:w="1260"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83000</w:t>
            </w:r>
          </w:p>
        </w:tc>
        <w:tc>
          <w:tcPr>
            <w:tcW w:w="1050"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95" w:type="dxa"/>
            <w:vMerge w:val="continue"/>
            <w:vAlign w:val="center"/>
          </w:tcPr>
          <w:p>
            <w:pPr>
              <w:spacing w:line="300" w:lineRule="exact"/>
              <w:jc w:val="center"/>
              <w:rPr>
                <w:rFonts w:ascii="仿宋_GB2312" w:hAnsi="仿宋_GB2312" w:eastAsia="仿宋_GB2312" w:cs="仿宋_GB2312"/>
                <w:color w:val="auto"/>
                <w:sz w:val="28"/>
                <w:szCs w:val="28"/>
              </w:rPr>
            </w:pPr>
          </w:p>
        </w:tc>
        <w:tc>
          <w:tcPr>
            <w:tcW w:w="795"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w:t>
            </w:r>
          </w:p>
        </w:tc>
        <w:tc>
          <w:tcPr>
            <w:tcW w:w="2865"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举办训练班班次</w:t>
            </w:r>
          </w:p>
        </w:tc>
        <w:tc>
          <w:tcPr>
            <w:tcW w:w="1110"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次</w:t>
            </w:r>
          </w:p>
        </w:tc>
        <w:tc>
          <w:tcPr>
            <w:tcW w:w="1275"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38623</w:t>
            </w:r>
          </w:p>
        </w:tc>
        <w:tc>
          <w:tcPr>
            <w:tcW w:w="1260"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42000</w:t>
            </w:r>
          </w:p>
        </w:tc>
        <w:tc>
          <w:tcPr>
            <w:tcW w:w="1050"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95" w:type="dxa"/>
            <w:vMerge w:val="continue"/>
            <w:vAlign w:val="center"/>
          </w:tcPr>
          <w:p>
            <w:pPr>
              <w:spacing w:line="300" w:lineRule="exact"/>
              <w:jc w:val="center"/>
              <w:rPr>
                <w:rFonts w:ascii="仿宋_GB2312" w:hAnsi="仿宋_GB2312" w:eastAsia="仿宋_GB2312" w:cs="仿宋_GB2312"/>
                <w:color w:val="auto"/>
                <w:sz w:val="28"/>
                <w:szCs w:val="28"/>
              </w:rPr>
            </w:pPr>
          </w:p>
        </w:tc>
        <w:tc>
          <w:tcPr>
            <w:tcW w:w="795"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w:t>
            </w:r>
          </w:p>
        </w:tc>
        <w:tc>
          <w:tcPr>
            <w:tcW w:w="2865"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举办展览个数</w:t>
            </w:r>
          </w:p>
        </w:tc>
        <w:tc>
          <w:tcPr>
            <w:tcW w:w="1110"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个</w:t>
            </w:r>
          </w:p>
        </w:tc>
        <w:tc>
          <w:tcPr>
            <w:tcW w:w="1275"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12128</w:t>
            </w:r>
          </w:p>
        </w:tc>
        <w:tc>
          <w:tcPr>
            <w:tcW w:w="1260"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13000</w:t>
            </w:r>
          </w:p>
        </w:tc>
        <w:tc>
          <w:tcPr>
            <w:tcW w:w="1050"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95" w:type="dxa"/>
            <w:vMerge w:val="continue"/>
            <w:vAlign w:val="center"/>
          </w:tcPr>
          <w:p>
            <w:pPr>
              <w:spacing w:line="300" w:lineRule="exact"/>
              <w:jc w:val="center"/>
              <w:rPr>
                <w:rFonts w:ascii="仿宋_GB2312" w:hAnsi="仿宋_GB2312" w:eastAsia="仿宋_GB2312" w:cs="仿宋_GB2312"/>
                <w:color w:val="auto"/>
                <w:sz w:val="28"/>
                <w:szCs w:val="28"/>
              </w:rPr>
            </w:pPr>
          </w:p>
        </w:tc>
        <w:tc>
          <w:tcPr>
            <w:tcW w:w="795"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w:t>
            </w:r>
          </w:p>
        </w:tc>
        <w:tc>
          <w:tcPr>
            <w:tcW w:w="2865"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组织公益性讲座次数</w:t>
            </w:r>
          </w:p>
        </w:tc>
        <w:tc>
          <w:tcPr>
            <w:tcW w:w="1110"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个</w:t>
            </w:r>
          </w:p>
        </w:tc>
        <w:tc>
          <w:tcPr>
            <w:tcW w:w="1275"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4196</w:t>
            </w:r>
          </w:p>
        </w:tc>
        <w:tc>
          <w:tcPr>
            <w:tcW w:w="1260"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4500</w:t>
            </w:r>
          </w:p>
        </w:tc>
        <w:tc>
          <w:tcPr>
            <w:tcW w:w="1050"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95" w:type="dxa"/>
            <w:vMerge w:val="restart"/>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管理</w:t>
            </w:r>
          </w:p>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体制</w:t>
            </w:r>
          </w:p>
        </w:tc>
        <w:tc>
          <w:tcPr>
            <w:tcW w:w="795"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w:t>
            </w:r>
          </w:p>
        </w:tc>
        <w:tc>
          <w:tcPr>
            <w:tcW w:w="2865"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县级文化馆</w:t>
            </w:r>
          </w:p>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总分馆制完成量</w:t>
            </w:r>
          </w:p>
        </w:tc>
        <w:tc>
          <w:tcPr>
            <w:tcW w:w="1110"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个</w:t>
            </w:r>
          </w:p>
        </w:tc>
        <w:tc>
          <w:tcPr>
            <w:tcW w:w="1275"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73</w:t>
            </w:r>
          </w:p>
        </w:tc>
        <w:tc>
          <w:tcPr>
            <w:tcW w:w="1260"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183</w:t>
            </w:r>
          </w:p>
        </w:tc>
        <w:tc>
          <w:tcPr>
            <w:tcW w:w="1050"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95" w:type="dxa"/>
            <w:vMerge w:val="continue"/>
            <w:vAlign w:val="center"/>
          </w:tcPr>
          <w:p>
            <w:pPr>
              <w:spacing w:line="300" w:lineRule="exact"/>
              <w:jc w:val="center"/>
              <w:rPr>
                <w:rFonts w:ascii="仿宋_GB2312" w:hAnsi="仿宋_GB2312" w:eastAsia="仿宋_GB2312" w:cs="仿宋_GB2312"/>
                <w:color w:val="auto"/>
                <w:sz w:val="28"/>
                <w:szCs w:val="28"/>
              </w:rPr>
            </w:pPr>
          </w:p>
        </w:tc>
        <w:tc>
          <w:tcPr>
            <w:tcW w:w="795"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w:t>
            </w:r>
          </w:p>
        </w:tc>
        <w:tc>
          <w:tcPr>
            <w:tcW w:w="2865"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市（州）文化馆法人治理结构改革完成量</w:t>
            </w:r>
          </w:p>
        </w:tc>
        <w:tc>
          <w:tcPr>
            <w:tcW w:w="1110"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个</w:t>
            </w:r>
          </w:p>
        </w:tc>
        <w:tc>
          <w:tcPr>
            <w:tcW w:w="1275" w:type="dxa"/>
            <w:vAlign w:val="center"/>
          </w:tcPr>
          <w:p>
            <w:pPr>
              <w:spacing w:line="300" w:lineRule="exact"/>
              <w:jc w:val="center"/>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w:t>
            </w:r>
          </w:p>
        </w:tc>
        <w:tc>
          <w:tcPr>
            <w:tcW w:w="1260" w:type="dxa"/>
            <w:vAlign w:val="center"/>
          </w:tcPr>
          <w:p>
            <w:pPr>
              <w:spacing w:line="3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21</w:t>
            </w:r>
          </w:p>
        </w:tc>
        <w:tc>
          <w:tcPr>
            <w:tcW w:w="1050" w:type="dxa"/>
            <w:vAlign w:val="center"/>
          </w:tcPr>
          <w:p>
            <w:pPr>
              <w:spacing w:line="300" w:lineRule="exact"/>
              <w:jc w:val="center"/>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w:t>
            </w:r>
          </w:p>
        </w:tc>
      </w:tr>
    </w:tbl>
    <w:p>
      <w:pPr>
        <w:spacing w:line="560" w:lineRule="exact"/>
        <w:ind w:firstLine="640" w:firstLineChars="200"/>
        <w:rPr>
          <w:rFonts w:ascii="仿宋_GB2312" w:hAnsi="仿宋_GB2312" w:eastAsia="仿宋_GB2312" w:cs="仿宋_GB2312"/>
          <w:color w:val="auto"/>
          <w:kern w:val="0"/>
          <w:sz w:val="32"/>
          <w:szCs w:val="32"/>
          <w:shd w:val="clear" w:color="auto" w:fill="FFFFFF"/>
        </w:rPr>
      </w:pPr>
    </w:p>
    <w:p>
      <w:pPr>
        <w:spacing w:line="600" w:lineRule="exact"/>
        <w:rPr>
          <w:rFonts w:ascii="仿宋_GB2312" w:hAnsi="仿宋_GB2312" w:eastAsia="仿宋_GB2312" w:cs="仿宋_GB2312"/>
          <w:color w:val="auto"/>
          <w:sz w:val="32"/>
          <w:szCs w:val="32"/>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sectPr>
          <w:pgSz w:w="11906" w:h="16838"/>
          <w:pgMar w:top="1440" w:right="1800" w:bottom="1440" w:left="1800" w:header="851" w:footer="992" w:gutter="0"/>
          <w:pgNumType w:fmt="numberInDash"/>
          <w:cols w:space="425" w:num="1"/>
          <w:docGrid w:type="lines" w:linePitch="312" w:charSpace="0"/>
        </w:sectPr>
      </w:pPr>
    </w:p>
    <w:p>
      <w:pPr>
        <w:spacing w:line="600" w:lineRule="exact"/>
        <w:rPr>
          <w:rFonts w:ascii="黑体" w:hAnsi="黑体" w:eastAsia="黑体" w:cs="黑体"/>
          <w:color w:val="auto"/>
          <w:sz w:val="32"/>
          <w:szCs w:val="32"/>
        </w:rPr>
      </w:pPr>
      <w:r>
        <w:rPr>
          <w:rFonts w:hint="eastAsia" w:ascii="黑体" w:hAnsi="黑体" w:eastAsia="黑体" w:cs="黑体"/>
          <w:color w:val="auto"/>
          <w:sz w:val="32"/>
          <w:szCs w:val="32"/>
        </w:rPr>
        <w:t>附件3</w:t>
      </w:r>
    </w:p>
    <w:p>
      <w:pPr>
        <w:jc w:val="center"/>
        <w:rPr>
          <w:rFonts w:ascii="宋体" w:hAnsi="宋体"/>
          <w:b/>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全省博物馆效能提升</w:t>
      </w:r>
      <w:r>
        <w:rPr>
          <w:rFonts w:hint="eastAsia" w:ascii="方正小标宋简体" w:hAnsi="方正小标宋简体" w:eastAsia="方正小标宋简体" w:cs="方正小标宋简体"/>
          <w:b w:val="0"/>
          <w:bCs/>
          <w:color w:val="auto"/>
          <w:sz w:val="44"/>
          <w:szCs w:val="44"/>
          <w:lang w:eastAsia="zh-CN"/>
        </w:rPr>
        <w:t>九大任务</w:t>
      </w:r>
      <w:r>
        <w:rPr>
          <w:rFonts w:hint="eastAsia" w:ascii="方正小标宋简体" w:hAnsi="方正小标宋简体" w:eastAsia="方正小标宋简体" w:cs="方正小标宋简体"/>
          <w:b w:val="0"/>
          <w:bCs/>
          <w:color w:val="auto"/>
          <w:sz w:val="44"/>
          <w:szCs w:val="44"/>
        </w:rPr>
        <w:t>行动方案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（2020—2022年）</w:t>
      </w:r>
    </w:p>
    <w:p>
      <w:pPr>
        <w:ind w:firstLine="645"/>
        <w:rPr>
          <w:rFonts w:ascii="仿宋_GB2312" w:hAnsi="仿宋" w:eastAsia="仿宋_GB2312" w:cs="方正仿宋_GBK"/>
          <w:color w:val="auto"/>
          <w:sz w:val="32"/>
          <w:szCs w:val="32"/>
        </w:rPr>
      </w:pPr>
    </w:p>
    <w:p>
      <w:pPr>
        <w:keepNext w:val="0"/>
        <w:keepLines w:val="0"/>
        <w:pageBreakBefore w:val="0"/>
        <w:kinsoku/>
        <w:wordWrap/>
        <w:overflowPunct/>
        <w:topLinePunct w:val="0"/>
        <w:bidi w:val="0"/>
        <w:snapToGrid/>
        <w:spacing w:line="560" w:lineRule="exact"/>
        <w:ind w:firstLine="645"/>
        <w:textAlignment w:val="auto"/>
        <w:outlineLvl w:val="9"/>
        <w:rPr>
          <w:rFonts w:ascii="仿宋_GB2312" w:hAnsi="仿宋" w:eastAsia="仿宋_GB2312" w:cs="方正仿宋_GBK"/>
          <w:color w:val="auto"/>
          <w:sz w:val="32"/>
          <w:szCs w:val="32"/>
        </w:rPr>
      </w:pPr>
      <w:r>
        <w:rPr>
          <w:rFonts w:hint="eastAsia" w:ascii="仿宋_GB2312" w:hAnsi="仿宋" w:eastAsia="仿宋_GB2312" w:cs="方正仿宋_GBK"/>
          <w:color w:val="auto"/>
          <w:sz w:val="32"/>
          <w:szCs w:val="32"/>
        </w:rPr>
        <w:t>按照中共四川省委十一届三次全会关于开展博物馆提升行动的部署，根据《中华人民共和国文物保护法》《中华人民共和国公共文化</w:t>
      </w:r>
      <w:r>
        <w:rPr>
          <w:rFonts w:hint="eastAsia" w:ascii="仿宋_GB2312" w:hAnsi="仿宋" w:eastAsia="仿宋_GB2312" w:cs="方正仿宋_GBK"/>
          <w:color w:val="auto"/>
          <w:sz w:val="32"/>
          <w:szCs w:val="32"/>
          <w:lang w:eastAsia="zh-CN"/>
        </w:rPr>
        <w:t>服务</w:t>
      </w:r>
      <w:bookmarkStart w:id="2" w:name="_GoBack"/>
      <w:bookmarkEnd w:id="2"/>
      <w:r>
        <w:rPr>
          <w:rFonts w:hint="eastAsia" w:ascii="仿宋_GB2312" w:hAnsi="仿宋" w:eastAsia="仿宋_GB2312" w:cs="方正仿宋_GBK"/>
          <w:color w:val="auto"/>
          <w:sz w:val="32"/>
          <w:szCs w:val="32"/>
        </w:rPr>
        <w:t>保障法》《博物馆条例》及</w:t>
      </w:r>
      <w:r>
        <w:rPr>
          <w:rFonts w:ascii="仿宋_GB2312" w:hAnsi="仿宋" w:eastAsia="仿宋_GB2312" w:cs="方正仿宋_GBK"/>
          <w:color w:val="auto"/>
          <w:sz w:val="32"/>
          <w:szCs w:val="32"/>
        </w:rPr>
        <w:t>《</w:t>
      </w:r>
      <w:r>
        <w:rPr>
          <w:rFonts w:hint="eastAsia" w:ascii="仿宋_GB2312" w:hAnsi="仿宋" w:eastAsia="仿宋_GB2312" w:cs="方正仿宋_GBK"/>
          <w:color w:val="auto"/>
          <w:sz w:val="32"/>
          <w:szCs w:val="32"/>
        </w:rPr>
        <w:t>四川省人民政府</w:t>
      </w:r>
      <w:r>
        <w:rPr>
          <w:rFonts w:ascii="仿宋_GB2312" w:hAnsi="仿宋" w:eastAsia="仿宋_GB2312" w:cs="方正仿宋_GBK"/>
          <w:color w:val="auto"/>
          <w:sz w:val="32"/>
          <w:szCs w:val="32"/>
        </w:rPr>
        <w:t>关于进一步加强文物工作的</w:t>
      </w:r>
      <w:r>
        <w:rPr>
          <w:rFonts w:hint="eastAsia" w:ascii="仿宋_GB2312" w:hAnsi="仿宋" w:eastAsia="仿宋_GB2312" w:cs="方正仿宋_GBK"/>
          <w:color w:val="auto"/>
          <w:sz w:val="32"/>
          <w:szCs w:val="32"/>
        </w:rPr>
        <w:t>实施</w:t>
      </w:r>
      <w:r>
        <w:rPr>
          <w:rFonts w:ascii="仿宋_GB2312" w:hAnsi="仿宋" w:eastAsia="仿宋_GB2312" w:cs="方正仿宋_GBK"/>
          <w:color w:val="auto"/>
          <w:sz w:val="32"/>
          <w:szCs w:val="32"/>
        </w:rPr>
        <w:t>意见》</w:t>
      </w:r>
      <w:r>
        <w:rPr>
          <w:rFonts w:hint="eastAsia" w:ascii="仿宋_GB2312" w:hAnsi="仿宋" w:eastAsia="仿宋_GB2312" w:cs="方正仿宋_GBK"/>
          <w:color w:val="auto"/>
          <w:sz w:val="32"/>
          <w:szCs w:val="32"/>
        </w:rPr>
        <w:t>《</w:t>
      </w:r>
      <w:r>
        <w:rPr>
          <w:rFonts w:ascii="仿宋_GB2312" w:hAnsi="仿宋" w:eastAsia="仿宋_GB2312" w:cs="方正仿宋_GBK"/>
          <w:color w:val="auto"/>
          <w:sz w:val="32"/>
          <w:szCs w:val="32"/>
        </w:rPr>
        <w:t>中共四川省委办公厅</w:t>
      </w:r>
      <w:r>
        <w:rPr>
          <w:rFonts w:hint="eastAsia" w:ascii="仿宋_GB2312" w:hAnsi="仿宋" w:eastAsia="仿宋_GB2312" w:cs="方正仿宋_GBK"/>
          <w:color w:val="auto"/>
          <w:sz w:val="32"/>
          <w:szCs w:val="32"/>
        </w:rPr>
        <w:t>、</w:t>
      </w:r>
      <w:r>
        <w:rPr>
          <w:rFonts w:ascii="仿宋_GB2312" w:hAnsi="仿宋" w:eastAsia="仿宋_GB2312" w:cs="方正仿宋_GBK"/>
          <w:color w:val="auto"/>
          <w:sz w:val="32"/>
          <w:szCs w:val="32"/>
        </w:rPr>
        <w:t>四川省人民政府办公厅关于加强文物保护利用改革的实施意见</w:t>
      </w:r>
      <w:r>
        <w:rPr>
          <w:rFonts w:hint="eastAsia" w:ascii="仿宋_GB2312" w:hAnsi="仿宋" w:eastAsia="仿宋_GB2312" w:cs="方正仿宋_GBK"/>
          <w:color w:val="auto"/>
          <w:sz w:val="32"/>
          <w:szCs w:val="32"/>
        </w:rPr>
        <w:t>》，结合我省实际，特制定本方案。</w:t>
      </w:r>
    </w:p>
    <w:p>
      <w:pPr>
        <w:keepNext w:val="0"/>
        <w:keepLines w:val="0"/>
        <w:pageBreakBefore w:val="0"/>
        <w:widowControl/>
        <w:kinsoku/>
        <w:wordWrap/>
        <w:overflowPunct/>
        <w:topLinePunct w:val="0"/>
        <w:bidi w:val="0"/>
        <w:snapToGrid/>
        <w:spacing w:line="560" w:lineRule="exact"/>
        <w:ind w:firstLine="640" w:firstLineChars="200"/>
        <w:jc w:val="left"/>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一、工作目标</w:t>
      </w:r>
    </w:p>
    <w:p>
      <w:pPr>
        <w:keepNext w:val="0"/>
        <w:keepLines w:val="0"/>
        <w:pageBreakBefore w:val="0"/>
        <w:kinsoku/>
        <w:wordWrap/>
        <w:overflowPunct/>
        <w:topLinePunct w:val="0"/>
        <w:bidi w:val="0"/>
        <w:snapToGrid/>
        <w:spacing w:line="560" w:lineRule="exact"/>
        <w:ind w:firstLine="640" w:firstLineChars="200"/>
        <w:textAlignment w:val="auto"/>
        <w:outlineLvl w:val="9"/>
        <w:rPr>
          <w:rFonts w:ascii="仿宋_GB2312" w:hAnsi="仿宋" w:eastAsia="仿宋_GB2312" w:cs="方正仿宋_GBK"/>
          <w:color w:val="auto"/>
          <w:sz w:val="32"/>
          <w:szCs w:val="32"/>
        </w:rPr>
      </w:pPr>
      <w:r>
        <w:rPr>
          <w:rFonts w:hint="eastAsia" w:ascii="仿宋_GB2312" w:hAnsi="仿宋" w:eastAsia="仿宋_GB2312" w:cs="方正仿宋_GBK"/>
          <w:color w:val="auto"/>
          <w:sz w:val="32"/>
          <w:szCs w:val="32"/>
        </w:rPr>
        <w:t>到2022年，全省逐步</w:t>
      </w:r>
      <w:r>
        <w:rPr>
          <w:rFonts w:hint="eastAsia" w:ascii="仿宋_GB2312" w:hAnsi="仿宋" w:eastAsia="仿宋_GB2312"/>
          <w:color w:val="auto"/>
          <w:sz w:val="32"/>
          <w:szCs w:val="32"/>
        </w:rPr>
        <w:t>形成主体更加多元、布局更趋合理、结构日臻完善、特色更加鲜明的博物馆体系，构建起科学规范、运行高效、协同联动、保障有力、监管有序的现代博物馆治理体系</w:t>
      </w:r>
      <w:r>
        <w:rPr>
          <w:rFonts w:ascii="仿宋_GB2312" w:hAnsi="仿宋" w:eastAsia="仿宋_GB2312"/>
          <w:color w:val="auto"/>
          <w:sz w:val="32"/>
          <w:szCs w:val="32"/>
        </w:rPr>
        <w:t>，</w:t>
      </w:r>
      <w:r>
        <w:rPr>
          <w:rFonts w:hint="eastAsia" w:ascii="仿宋_GB2312" w:hAnsi="仿宋" w:eastAsia="仿宋_GB2312"/>
          <w:color w:val="auto"/>
          <w:sz w:val="32"/>
          <w:szCs w:val="32"/>
        </w:rPr>
        <w:t>全面提升博物馆的文物保护、学术研究、陈列展示、公众教育和文化传播能力，进一步突出</w:t>
      </w:r>
      <w:r>
        <w:rPr>
          <w:rFonts w:hint="eastAsia" w:ascii="仿宋_GB2312" w:hAnsi="仿宋" w:eastAsia="仿宋_GB2312"/>
          <w:snapToGrid w:val="0"/>
          <w:color w:val="auto"/>
          <w:kern w:val="0"/>
          <w:sz w:val="32"/>
          <w:szCs w:val="32"/>
        </w:rPr>
        <w:t>博物馆公共文化服务均等化、普惠化、便捷化，</w:t>
      </w:r>
      <w:r>
        <w:rPr>
          <w:rFonts w:hint="eastAsia" w:ascii="仿宋_GB2312" w:hAnsi="仿宋" w:eastAsia="仿宋_GB2312" w:cs="方正仿宋_GBK"/>
          <w:color w:val="auto"/>
          <w:sz w:val="32"/>
          <w:szCs w:val="32"/>
        </w:rPr>
        <w:t>全省博物馆总数突破300座，年服务公众6000万人次以上，年举办讲座500场次以上，年开展青少年教育活动10000场次以上，年新增各类专题临时展览100个以上，</w:t>
      </w:r>
      <w:r>
        <w:rPr>
          <w:rFonts w:hint="eastAsia" w:ascii="仿宋_GB2312" w:hAnsi="仿宋" w:eastAsia="仿宋_GB2312"/>
          <w:color w:val="auto"/>
          <w:sz w:val="32"/>
          <w:szCs w:val="32"/>
        </w:rPr>
        <w:t>充分发挥博物馆</w:t>
      </w:r>
      <w:r>
        <w:rPr>
          <w:rFonts w:ascii="仿宋_GB2312" w:hAnsi="仿宋" w:eastAsia="仿宋_GB2312"/>
          <w:color w:val="auto"/>
          <w:sz w:val="32"/>
          <w:szCs w:val="32"/>
        </w:rPr>
        <w:t>在</w:t>
      </w:r>
      <w:r>
        <w:rPr>
          <w:rFonts w:hint="eastAsia" w:ascii="仿宋_GB2312" w:hAnsi="仿宋" w:eastAsia="仿宋_GB2312"/>
          <w:color w:val="auto"/>
          <w:sz w:val="32"/>
          <w:szCs w:val="32"/>
        </w:rPr>
        <w:t>传承优秀传统文化、革命文化和社会主义先进文化、服务经济社会发展、促进人类文明交流互鉴中的重要作用。</w:t>
      </w:r>
    </w:p>
    <w:p>
      <w:pPr>
        <w:keepNext w:val="0"/>
        <w:keepLines w:val="0"/>
        <w:pageBreakBefore w:val="0"/>
        <w:widowControl/>
        <w:kinsoku/>
        <w:wordWrap/>
        <w:overflowPunct/>
        <w:topLinePunct w:val="0"/>
        <w:bidi w:val="0"/>
        <w:snapToGrid/>
        <w:spacing w:line="560" w:lineRule="exact"/>
        <w:ind w:firstLine="640" w:firstLineChars="200"/>
        <w:jc w:val="left"/>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二、工作任务</w:t>
      </w:r>
    </w:p>
    <w:p>
      <w:pPr>
        <w:pStyle w:val="8"/>
        <w:keepNext w:val="0"/>
        <w:keepLines w:val="0"/>
        <w:pageBreakBefore w:val="0"/>
        <w:kinsoku/>
        <w:wordWrap/>
        <w:overflowPunct/>
        <w:topLinePunct w:val="0"/>
        <w:bidi w:val="0"/>
        <w:snapToGrid/>
        <w:spacing w:line="560" w:lineRule="exact"/>
        <w:ind w:firstLine="642" w:firstLineChars="200"/>
        <w:textAlignment w:val="auto"/>
        <w:outlineLvl w:val="9"/>
        <w:rPr>
          <w:rFonts w:ascii="仿宋_GB2312" w:eastAsia="仿宋_GB2312" w:cs="仿宋e眠副浡渀."/>
          <w:color w:val="auto"/>
          <w:sz w:val="32"/>
          <w:szCs w:val="32"/>
        </w:rPr>
      </w:pPr>
      <w:r>
        <w:rPr>
          <w:rFonts w:hint="eastAsia" w:ascii="楷体" w:hAnsi="楷体" w:eastAsia="楷体"/>
          <w:b/>
          <w:color w:val="auto"/>
          <w:sz w:val="32"/>
          <w:szCs w:val="32"/>
        </w:rPr>
        <w:t>（一）加快博物馆体系建设。</w:t>
      </w:r>
      <w:r>
        <w:rPr>
          <w:rFonts w:hint="eastAsia" w:ascii="仿宋_GB2312" w:eastAsia="仿宋_GB2312" w:cs="仿宋e眠副浡渀."/>
          <w:color w:val="auto"/>
          <w:sz w:val="32"/>
          <w:szCs w:val="32"/>
        </w:rPr>
        <w:t>加快各门类博物馆建设，支持博物馆新建、改扩建和功能提升。大力推进市级综合博物馆、文物大县博物馆建设，推进革命纪念馆、生态博物馆、社区博物馆、历史名人博物馆、工业遗产博物馆、考古遗址公园博物馆、自然博物馆、高校博物馆以及其他专题类博物馆建设。开展乡村博物馆建设试点。鼓励各地探索在大型居住区、城市综合体等按照配套公建政策建设小微型博物馆、陈列馆（室）。支持非国有博物馆建设发展，各地可通过免费提供馆舍、政府购买服务等形式，支持非国有博物馆发展。非国有博物馆在土地使用、职称评定等方面与国有博物馆同等对待。配合长征国家文化公园、川陕苏区红军文化公园建设，报批新建或改建一批革命纪念馆。新建四川博物院临展厅（馆）、三星堆博物馆新馆、川陕革命根据地博物馆新馆、彭山江口古战场遗址博物馆、成都自然博物馆、成都张大千艺术博物馆、宣汉罗家坝遗址博物馆、渠县城坝遗址博物馆等。鼓励利用历史建筑、名人旧居、工业遗址、传统村落、商业综合体等作为博物馆馆舍。加强对各地博物馆建设的专业指导，提高博物馆建设水平。</w:t>
      </w:r>
      <w:r>
        <w:rPr>
          <w:rFonts w:hint="eastAsia" w:ascii="仿宋_GB2312" w:hAnsi="仿宋" w:eastAsia="仿宋_GB2312"/>
          <w:color w:val="auto"/>
          <w:sz w:val="32"/>
          <w:szCs w:val="32"/>
        </w:rPr>
        <w:t>实施卓越博物馆发展计划，支持省级、重要市县级博物馆高品质、特色化、差异化发展。实施中小博物馆提升计划，通过对口帮扶、总分馆制、专题</w:t>
      </w:r>
      <w:r>
        <w:rPr>
          <w:rFonts w:ascii="仿宋_GB2312" w:hAnsi="仿宋" w:eastAsia="仿宋_GB2312"/>
          <w:color w:val="auto"/>
          <w:sz w:val="32"/>
          <w:szCs w:val="32"/>
        </w:rPr>
        <w:t>联盟</w:t>
      </w:r>
      <w:r>
        <w:rPr>
          <w:rFonts w:hint="eastAsia" w:ascii="仿宋_GB2312" w:hAnsi="仿宋" w:eastAsia="仿宋_GB2312"/>
          <w:color w:val="auto"/>
          <w:sz w:val="32"/>
          <w:szCs w:val="32"/>
        </w:rPr>
        <w:t>、代管托管等</w:t>
      </w:r>
      <w:r>
        <w:rPr>
          <w:rFonts w:ascii="仿宋_GB2312" w:hAnsi="仿宋" w:eastAsia="仿宋_GB2312"/>
          <w:color w:val="auto"/>
          <w:sz w:val="32"/>
          <w:szCs w:val="32"/>
        </w:rPr>
        <w:t>模式，</w:t>
      </w:r>
      <w:r>
        <w:rPr>
          <w:rFonts w:hint="eastAsia" w:ascii="仿宋_GB2312" w:hAnsi="仿宋" w:eastAsia="仿宋_GB2312"/>
          <w:color w:val="auto"/>
          <w:sz w:val="32"/>
          <w:szCs w:val="32"/>
        </w:rPr>
        <w:t>提升基本公共文化服务水平。</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8"/>
              <w:keepNext w:val="0"/>
              <w:keepLines w:val="0"/>
              <w:pageBreakBefore w:val="0"/>
              <w:widowControl w:val="0"/>
              <w:kinsoku/>
              <w:wordWrap/>
              <w:overflowPunct/>
              <w:topLinePunct w:val="0"/>
              <w:bidi w:val="0"/>
              <w:snapToGrid/>
              <w:spacing w:line="500" w:lineRule="exact"/>
              <w:textAlignment w:val="auto"/>
              <w:outlineLvl w:val="9"/>
              <w:rPr>
                <w:rFonts w:ascii="楷体" w:hAnsi="楷体" w:eastAsia="楷体" w:cs="仿宋e眠副浡渀."/>
                <w:b/>
                <w:color w:val="auto"/>
                <w:sz w:val="32"/>
                <w:szCs w:val="32"/>
              </w:rPr>
            </w:pPr>
            <w:r>
              <w:rPr>
                <w:rFonts w:hint="eastAsia" w:ascii="楷体" w:hAnsi="楷体" w:eastAsia="楷体" w:cs="仿宋e眠副浡渀."/>
                <w:b/>
                <w:color w:val="auto"/>
                <w:sz w:val="32"/>
                <w:szCs w:val="32"/>
              </w:rPr>
              <w:t>专栏一：博物馆建设重点工程</w:t>
            </w:r>
          </w:p>
          <w:p>
            <w:pPr>
              <w:pStyle w:val="8"/>
              <w:keepNext w:val="0"/>
              <w:keepLines w:val="0"/>
              <w:pageBreakBefore w:val="0"/>
              <w:widowControl w:val="0"/>
              <w:kinsoku/>
              <w:wordWrap/>
              <w:overflowPunct/>
              <w:topLinePunct w:val="0"/>
              <w:bidi w:val="0"/>
              <w:snapToGrid/>
              <w:spacing w:line="500" w:lineRule="exact"/>
              <w:ind w:firstLine="640" w:firstLineChars="200"/>
              <w:textAlignment w:val="auto"/>
              <w:outlineLvl w:val="9"/>
              <w:rPr>
                <w:rFonts w:ascii="楷体" w:hAnsi="楷体" w:eastAsia="楷体" w:cs="仿宋e眠副浡渀."/>
                <w:color w:val="auto"/>
                <w:sz w:val="32"/>
                <w:szCs w:val="32"/>
              </w:rPr>
            </w:pPr>
            <w:r>
              <w:rPr>
                <w:rFonts w:hint="eastAsia" w:ascii="楷体" w:hAnsi="楷体" w:eastAsia="楷体"/>
                <w:color w:val="auto"/>
                <w:sz w:val="32"/>
                <w:szCs w:val="32"/>
              </w:rPr>
              <w:t>1.重点博物馆建设。</w:t>
            </w:r>
            <w:r>
              <w:rPr>
                <w:rFonts w:hint="eastAsia" w:ascii="楷体" w:hAnsi="楷体" w:eastAsia="楷体" w:cs="仿宋e眠副浡渀."/>
                <w:color w:val="auto"/>
                <w:sz w:val="32"/>
                <w:szCs w:val="32"/>
              </w:rPr>
              <w:t>推进遂宁、内江、南充、宜宾、广安、眉山、资阳等市州综合性博物馆建设；推进四川博物院临展厅（馆）、三星堆博物馆新馆、川陕革命根据地博物馆新馆、彭山江口古战场遗址博物馆、成都自然博物馆、成都张大千艺术博物馆、宣汉罗家坝遗址博物馆、渠县城坝遗址博物馆建设。</w:t>
            </w:r>
          </w:p>
          <w:p>
            <w:pPr>
              <w:keepNext w:val="0"/>
              <w:keepLines w:val="0"/>
              <w:pageBreakBefore w:val="0"/>
              <w:widowControl w:val="0"/>
              <w:kinsoku/>
              <w:wordWrap/>
              <w:overflowPunct/>
              <w:topLinePunct w:val="0"/>
              <w:bidi w:val="0"/>
              <w:snapToGrid/>
              <w:spacing w:line="500" w:lineRule="exact"/>
              <w:ind w:firstLine="640" w:firstLineChars="200"/>
              <w:textAlignment w:val="auto"/>
              <w:outlineLvl w:val="9"/>
              <w:rPr>
                <w:rFonts w:ascii="楷体" w:hAnsi="楷体" w:eastAsia="楷体" w:cs="宋体"/>
                <w:color w:val="auto"/>
                <w:kern w:val="0"/>
                <w:sz w:val="32"/>
                <w:szCs w:val="32"/>
              </w:rPr>
            </w:pPr>
            <w:r>
              <w:rPr>
                <w:rFonts w:hint="eastAsia" w:ascii="楷体" w:hAnsi="楷体" w:eastAsia="楷体" w:cs="华文中宋..."/>
                <w:color w:val="auto"/>
                <w:kern w:val="0"/>
                <w:sz w:val="32"/>
                <w:szCs w:val="32"/>
              </w:rPr>
              <w:t>2.首批四川历史名人博物馆建设工程。</w:t>
            </w:r>
            <w:r>
              <w:rPr>
                <w:rFonts w:hint="eastAsia" w:ascii="楷体" w:hAnsi="楷体" w:eastAsia="楷体" w:cs="宋体"/>
                <w:color w:val="auto"/>
                <w:kern w:val="0"/>
                <w:sz w:val="32"/>
                <w:szCs w:val="32"/>
              </w:rPr>
              <w:t>实施成都武侯祠博物馆、杜甫草堂博物馆巩固完善项目。实施广元皇泽寺博物馆、江油市李白纪念馆、眉山三苏祠博物馆、新都杨升庵博物馆优化提升项目。推动都江堰市李冰纪念馆、成都市郫都区扬雄纪念馆、阆中市落下闳纪念馆以及北川（或汶川）大禹纪念馆建设项目。</w:t>
            </w:r>
          </w:p>
          <w:p>
            <w:pPr>
              <w:keepNext w:val="0"/>
              <w:keepLines w:val="0"/>
              <w:pageBreakBefore w:val="0"/>
              <w:widowControl w:val="0"/>
              <w:kinsoku/>
              <w:wordWrap/>
              <w:overflowPunct/>
              <w:topLinePunct w:val="0"/>
              <w:bidi w:val="0"/>
              <w:snapToGrid/>
              <w:spacing w:line="500" w:lineRule="exact"/>
              <w:ind w:firstLine="640" w:firstLineChars="200"/>
              <w:textAlignment w:val="auto"/>
              <w:outlineLvl w:val="9"/>
              <w:rPr>
                <w:rFonts w:ascii="方正小标宋简体" w:eastAsia="方正小标宋简体"/>
                <w:color w:val="auto"/>
                <w:sz w:val="32"/>
                <w:szCs w:val="32"/>
              </w:rPr>
            </w:pPr>
            <w:r>
              <w:rPr>
                <w:rFonts w:hint="eastAsia" w:ascii="楷体" w:hAnsi="楷体" w:eastAsia="楷体"/>
                <w:color w:val="auto"/>
                <w:sz w:val="32"/>
                <w:szCs w:val="32"/>
              </w:rPr>
              <w:t>3.乡村博物馆建设试点。</w:t>
            </w:r>
            <w:r>
              <w:rPr>
                <w:rFonts w:ascii="楷体" w:hAnsi="楷体" w:eastAsia="楷体" w:cs="仿宋e眠副浡渀."/>
                <w:color w:val="auto"/>
                <w:sz w:val="32"/>
                <w:szCs w:val="32"/>
              </w:rPr>
              <w:t>选取</w:t>
            </w:r>
            <w:r>
              <w:rPr>
                <w:rFonts w:hint="eastAsia" w:ascii="楷体" w:hAnsi="楷体" w:eastAsia="楷体" w:cs="仿宋e眠副浡渀."/>
                <w:color w:val="auto"/>
                <w:sz w:val="32"/>
                <w:szCs w:val="32"/>
              </w:rPr>
              <w:t>部分资源丰富、有一定基础条件的市县作为试点，每年支持建设100个示范性乡村博物馆。</w:t>
            </w:r>
          </w:p>
        </w:tc>
      </w:tr>
    </w:tbl>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2" w:firstLineChars="200"/>
        <w:textAlignment w:val="auto"/>
        <w:outlineLvl w:val="9"/>
        <w:rPr>
          <w:rFonts w:ascii="仿宋_GB2312" w:eastAsia="仿宋_GB2312" w:cs="仿宋e眠副浡渀."/>
          <w:color w:val="auto"/>
          <w:sz w:val="32"/>
          <w:szCs w:val="32"/>
        </w:rPr>
      </w:pPr>
      <w:r>
        <w:rPr>
          <w:rFonts w:hint="eastAsia" w:ascii="楷体" w:hAnsi="楷体" w:eastAsia="楷体" w:cs="宋体"/>
          <w:b/>
          <w:color w:val="auto"/>
          <w:sz w:val="32"/>
          <w:szCs w:val="32"/>
        </w:rPr>
        <w:t>（二）提升陈列展览水平。</w:t>
      </w:r>
      <w:r>
        <w:rPr>
          <w:rFonts w:hint="eastAsia" w:ascii="仿宋_GB2312" w:hAnsi="仿宋" w:eastAsia="仿宋_GB2312"/>
          <w:color w:val="auto"/>
          <w:sz w:val="32"/>
          <w:szCs w:val="32"/>
        </w:rPr>
        <w:t>推动独立策展人制度，优化展览策划制作流程，鼓励举办弘扬社会主义核心价值观的专题展览和各类主题原创性展览。</w:t>
      </w:r>
      <w:r>
        <w:rPr>
          <w:rFonts w:hint="eastAsia" w:ascii="仿宋_GB2312" w:eastAsia="仿宋_GB2312" w:cs="仿宋e眠副浡渀."/>
          <w:color w:val="auto"/>
          <w:sz w:val="32"/>
          <w:szCs w:val="32"/>
        </w:rPr>
        <w:t>建立群众意见反馈机制，</w:t>
      </w:r>
      <w:r>
        <w:rPr>
          <w:rFonts w:hint="eastAsia" w:ascii="仿宋_GB2312" w:hAnsi="仿宋" w:eastAsia="仿宋_GB2312"/>
          <w:color w:val="auto"/>
          <w:sz w:val="32"/>
          <w:szCs w:val="32"/>
        </w:rPr>
        <w:t>推广“以需定供”的互动式、菜单式服务，公开征集选题，举办观众喜闻乐见的展览。严格落实</w:t>
      </w:r>
      <w:r>
        <w:rPr>
          <w:rFonts w:ascii="仿宋_GB2312" w:hAnsi="仿宋" w:eastAsia="仿宋_GB2312"/>
          <w:color w:val="auto"/>
          <w:sz w:val="32"/>
          <w:szCs w:val="32"/>
        </w:rPr>
        <w:t>意识形态工作责任制</w:t>
      </w:r>
      <w:r>
        <w:rPr>
          <w:rFonts w:hint="eastAsia" w:ascii="仿宋_GB2312" w:hAnsi="仿宋" w:eastAsia="仿宋_GB2312"/>
          <w:color w:val="auto"/>
          <w:sz w:val="32"/>
          <w:szCs w:val="32"/>
        </w:rPr>
        <w:t>，加强陈列展览备案审查和监督指导</w:t>
      </w:r>
      <w:r>
        <w:rPr>
          <w:rFonts w:ascii="仿宋_GB2312" w:hAnsi="仿宋" w:eastAsia="仿宋_GB2312"/>
          <w:color w:val="auto"/>
          <w:sz w:val="32"/>
          <w:szCs w:val="32"/>
        </w:rPr>
        <w:t>。</w:t>
      </w:r>
      <w:r>
        <w:rPr>
          <w:rFonts w:hint="eastAsia" w:ascii="仿宋_GB2312" w:eastAsia="仿宋_GB2312" w:cs="仿宋e眠副浡渀."/>
          <w:color w:val="auto"/>
          <w:sz w:val="32"/>
          <w:szCs w:val="32"/>
        </w:rPr>
        <w:t>夯实陈列展览学术基础，提高陈列展览专业化水平，丰富展览的知识性，增强展览的趣味性，鼓励数字化手段合理应用。注重配合展览实施教育项目和文创产品开发。</w:t>
      </w:r>
      <w:r>
        <w:rPr>
          <w:rFonts w:hint="eastAsia" w:ascii="仿宋_GB2312" w:hAnsi="仿宋" w:eastAsia="仿宋_GB2312"/>
          <w:color w:val="auto"/>
          <w:sz w:val="32"/>
          <w:szCs w:val="32"/>
        </w:rPr>
        <w:t>建立博物馆</w:t>
      </w:r>
      <w:r>
        <w:rPr>
          <w:rFonts w:ascii="仿宋_GB2312" w:hAnsi="仿宋" w:eastAsia="仿宋_GB2312"/>
          <w:color w:val="auto"/>
          <w:sz w:val="32"/>
          <w:szCs w:val="32"/>
        </w:rPr>
        <w:t>基本陈列动态调整机制</w:t>
      </w:r>
      <w:r>
        <w:rPr>
          <w:rFonts w:hint="eastAsia" w:ascii="仿宋_GB2312" w:hAnsi="仿宋" w:eastAsia="仿宋_GB2312"/>
          <w:color w:val="auto"/>
          <w:sz w:val="32"/>
          <w:szCs w:val="32"/>
        </w:rPr>
        <w:t>。</w:t>
      </w:r>
      <w:r>
        <w:rPr>
          <w:rFonts w:hint="eastAsia" w:ascii="仿宋_GB2312" w:eastAsia="仿宋_GB2312" w:cs="仿宋e眠副浡渀."/>
          <w:color w:val="auto"/>
          <w:sz w:val="32"/>
          <w:szCs w:val="32"/>
        </w:rPr>
        <w:t>推动资源共享，促进展览交流，</w:t>
      </w:r>
      <w:r>
        <w:rPr>
          <w:rFonts w:hint="eastAsia" w:ascii="仿宋_GB2312" w:hAnsi="仿宋" w:eastAsia="仿宋_GB2312"/>
          <w:color w:val="auto"/>
          <w:sz w:val="32"/>
          <w:szCs w:val="32"/>
        </w:rPr>
        <w:t>支持联合办展、巡回展览、流动展览、网上展示</w:t>
      </w:r>
      <w:r>
        <w:rPr>
          <w:rFonts w:hint="eastAsia" w:ascii="仿宋_GB2312" w:eastAsia="仿宋_GB2312" w:cs="仿宋e眠副浡渀."/>
          <w:color w:val="auto"/>
          <w:sz w:val="32"/>
          <w:szCs w:val="32"/>
        </w:rPr>
        <w:t>。在有条件的市（州）综合性博物馆建设一批具有先进保护展示设施、可承接国际国内高水平临时展览的区域性文物展示中心。开展全省优秀陈列展览评选。对获评“全国博物馆十大陈列展览精品奖”的博物馆给予奖补。</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8"/>
              <w:keepNext w:val="0"/>
              <w:keepLines w:val="0"/>
              <w:pageBreakBefore w:val="0"/>
              <w:widowControl w:val="0"/>
              <w:kinsoku/>
              <w:wordWrap/>
              <w:overflowPunct/>
              <w:topLinePunct w:val="0"/>
              <w:autoSpaceDE w:val="0"/>
              <w:autoSpaceDN w:val="0"/>
              <w:bidi w:val="0"/>
              <w:adjustRightInd w:val="0"/>
              <w:snapToGrid/>
              <w:spacing w:line="500" w:lineRule="exact"/>
              <w:textAlignment w:val="auto"/>
              <w:outlineLvl w:val="9"/>
              <w:rPr>
                <w:rFonts w:ascii="楷体" w:hAnsi="楷体" w:eastAsia="楷体" w:cs="仿宋e眠副浡渀."/>
                <w:b/>
                <w:color w:val="auto"/>
                <w:sz w:val="32"/>
                <w:szCs w:val="32"/>
              </w:rPr>
            </w:pPr>
            <w:r>
              <w:rPr>
                <w:rFonts w:hint="eastAsia" w:ascii="楷体" w:hAnsi="楷体" w:eastAsia="楷体" w:cs="仿宋e眠副浡渀."/>
                <w:b/>
                <w:color w:val="auto"/>
                <w:sz w:val="32"/>
                <w:szCs w:val="32"/>
              </w:rPr>
              <w:t>专栏二：展览提升工程</w:t>
            </w:r>
          </w:p>
          <w:p>
            <w:pPr>
              <w:pStyle w:val="8"/>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outlineLvl w:val="9"/>
              <w:rPr>
                <w:rFonts w:ascii="楷体" w:hAnsi="楷体" w:eastAsia="楷体" w:cs="仿宋e眠副浡渀."/>
                <w:color w:val="auto"/>
                <w:sz w:val="32"/>
                <w:szCs w:val="32"/>
              </w:rPr>
            </w:pPr>
            <w:r>
              <w:rPr>
                <w:rFonts w:hint="eastAsia" w:ascii="楷体" w:hAnsi="楷体" w:eastAsia="楷体" w:cs="仿宋e眠副浡渀."/>
                <w:color w:val="auto"/>
                <w:sz w:val="32"/>
                <w:szCs w:val="32"/>
              </w:rPr>
              <w:t>1.实施四川博物院“四川通史展”、三星堆博物馆陈列展览提升等重点工程。</w:t>
            </w:r>
          </w:p>
          <w:p>
            <w:pPr>
              <w:pStyle w:val="8"/>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outlineLvl w:val="9"/>
              <w:rPr>
                <w:rFonts w:ascii="楷体" w:hAnsi="楷体" w:eastAsia="楷体" w:cs="仿宋e眠副浡渀."/>
                <w:color w:val="auto"/>
                <w:sz w:val="32"/>
                <w:szCs w:val="32"/>
              </w:rPr>
            </w:pPr>
            <w:r>
              <w:rPr>
                <w:rFonts w:hint="eastAsia" w:ascii="楷体" w:hAnsi="楷体" w:eastAsia="楷体" w:cs="仿宋e眠副浡渀."/>
                <w:color w:val="auto"/>
                <w:sz w:val="32"/>
                <w:szCs w:val="32"/>
              </w:rPr>
              <w:t>2.每年支持实施10个基本陈列改展提升和临时展览项目。</w:t>
            </w:r>
          </w:p>
        </w:tc>
      </w:tr>
    </w:tbl>
    <w:p>
      <w:pPr>
        <w:pStyle w:val="7"/>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Style w:val="9"/>
          <w:rFonts w:ascii="仿宋_GB2312" w:eastAsia="仿宋_GB2312" w:cs="华文中宋..."/>
          <w:color w:val="auto"/>
          <w:kern w:val="0"/>
          <w:sz w:val="32"/>
          <w:szCs w:val="32"/>
        </w:rPr>
      </w:pPr>
      <w:r>
        <w:rPr>
          <w:rFonts w:hint="eastAsia" w:ascii="楷体" w:hAnsi="楷体" w:eastAsia="楷体"/>
          <w:b/>
          <w:color w:val="auto"/>
          <w:sz w:val="32"/>
          <w:szCs w:val="32"/>
        </w:rPr>
        <w:t>（三）加强藏品保护</w:t>
      </w:r>
      <w:r>
        <w:rPr>
          <w:rFonts w:ascii="楷体" w:hAnsi="楷体" w:eastAsia="楷体"/>
          <w:b/>
          <w:color w:val="auto"/>
          <w:sz w:val="32"/>
          <w:szCs w:val="32"/>
        </w:rPr>
        <w:t>管理</w:t>
      </w:r>
      <w:r>
        <w:rPr>
          <w:rFonts w:hint="eastAsia" w:ascii="楷体" w:hAnsi="楷体" w:eastAsia="楷体"/>
          <w:b/>
          <w:color w:val="auto"/>
          <w:sz w:val="32"/>
          <w:szCs w:val="32"/>
        </w:rPr>
        <w:t>与研究。</w:t>
      </w:r>
      <w:r>
        <w:rPr>
          <w:rStyle w:val="9"/>
          <w:rFonts w:hint="eastAsia" w:ascii="仿宋_GB2312" w:eastAsia="仿宋_GB2312" w:cs="华文中宋..."/>
          <w:color w:val="auto"/>
          <w:kern w:val="0"/>
          <w:sz w:val="32"/>
          <w:szCs w:val="32"/>
        </w:rPr>
        <w:t>深化</w:t>
      </w:r>
      <w:r>
        <w:rPr>
          <w:rStyle w:val="9"/>
          <w:rFonts w:ascii="仿宋_GB2312" w:eastAsia="仿宋_GB2312" w:cs="华文中宋..."/>
          <w:color w:val="auto"/>
          <w:kern w:val="0"/>
          <w:sz w:val="32"/>
          <w:szCs w:val="32"/>
        </w:rPr>
        <w:t>藏品规范管理</w:t>
      </w:r>
      <w:r>
        <w:rPr>
          <w:rStyle w:val="9"/>
          <w:rFonts w:hint="eastAsia" w:ascii="仿宋_GB2312" w:eastAsia="仿宋_GB2312" w:cs="华文中宋..."/>
          <w:color w:val="auto"/>
          <w:kern w:val="0"/>
          <w:sz w:val="32"/>
          <w:szCs w:val="32"/>
        </w:rPr>
        <w:t>和数据利用</w:t>
      </w:r>
      <w:r>
        <w:rPr>
          <w:rStyle w:val="9"/>
          <w:rFonts w:ascii="仿宋_GB2312" w:eastAsia="仿宋_GB2312" w:cs="华文中宋..."/>
          <w:color w:val="auto"/>
          <w:kern w:val="0"/>
          <w:sz w:val="32"/>
          <w:szCs w:val="32"/>
        </w:rPr>
        <w:t>，</w:t>
      </w:r>
      <w:r>
        <w:rPr>
          <w:rStyle w:val="9"/>
          <w:rFonts w:hint="eastAsia" w:ascii="仿宋_GB2312" w:eastAsia="仿宋_GB2312" w:cs="华文中宋..."/>
          <w:color w:val="auto"/>
          <w:kern w:val="0"/>
          <w:sz w:val="32"/>
          <w:szCs w:val="32"/>
        </w:rPr>
        <w:t>开展全省非国有博物馆藏品登记备案工作</w:t>
      </w:r>
      <w:r>
        <w:rPr>
          <w:rStyle w:val="9"/>
          <w:rFonts w:ascii="仿宋_GB2312" w:eastAsia="仿宋_GB2312" w:cs="华文中宋..."/>
          <w:color w:val="auto"/>
          <w:kern w:val="0"/>
          <w:sz w:val="32"/>
          <w:szCs w:val="32"/>
        </w:rPr>
        <w:t>。</w:t>
      </w:r>
      <w:r>
        <w:rPr>
          <w:rStyle w:val="9"/>
          <w:rFonts w:hint="eastAsia" w:ascii="仿宋_GB2312" w:eastAsia="仿宋_GB2312" w:cs="华文中宋..."/>
          <w:color w:val="auto"/>
          <w:kern w:val="0"/>
          <w:sz w:val="32"/>
          <w:szCs w:val="32"/>
        </w:rPr>
        <w:t>加强馆藏文物保护修复，推动全省文物保护装备升级，提升博物馆预防性保护和安防消防能力。在地震多发地区开展馆藏文物防震设施建设。树立</w:t>
      </w:r>
      <w:r>
        <w:rPr>
          <w:rStyle w:val="9"/>
          <w:rFonts w:ascii="仿宋_GB2312" w:eastAsia="仿宋_GB2312" w:cs="华文中宋..."/>
          <w:color w:val="auto"/>
          <w:kern w:val="0"/>
          <w:sz w:val="32"/>
          <w:szCs w:val="32"/>
        </w:rPr>
        <w:t>多元化收藏理念，</w:t>
      </w:r>
      <w:r>
        <w:rPr>
          <w:rStyle w:val="9"/>
          <w:rFonts w:hint="eastAsia" w:ascii="仿宋_GB2312" w:eastAsia="仿宋_GB2312" w:cs="华文中宋..."/>
          <w:color w:val="auto"/>
          <w:kern w:val="0"/>
          <w:sz w:val="32"/>
          <w:szCs w:val="32"/>
        </w:rPr>
        <w:t>加强古代文物、经济</w:t>
      </w:r>
      <w:r>
        <w:rPr>
          <w:rStyle w:val="9"/>
          <w:rFonts w:ascii="仿宋_GB2312" w:eastAsia="仿宋_GB2312" w:cs="华文中宋..."/>
          <w:color w:val="auto"/>
          <w:kern w:val="0"/>
          <w:sz w:val="32"/>
          <w:szCs w:val="32"/>
        </w:rPr>
        <w:t>社会发展变迁</w:t>
      </w:r>
      <w:r>
        <w:rPr>
          <w:rStyle w:val="9"/>
          <w:rFonts w:hint="eastAsia" w:ascii="仿宋_GB2312" w:eastAsia="仿宋_GB2312" w:cs="华文中宋..."/>
          <w:color w:val="auto"/>
          <w:kern w:val="0"/>
          <w:sz w:val="32"/>
          <w:szCs w:val="32"/>
        </w:rPr>
        <w:t>物证、民俗民族文物和非物质文化遗产实物等文物藏品征集。加强革命文物藏品保护、征集和整理。强化科研工作，增强与国内国际知名高校、考古机构、科研机构等交流合作。组织省级科研课题申报，支持人才培养与引进，壮大文博人才队伍。</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8"/>
              <w:keepNext w:val="0"/>
              <w:keepLines w:val="0"/>
              <w:pageBreakBefore w:val="0"/>
              <w:widowControl w:val="0"/>
              <w:kinsoku/>
              <w:wordWrap/>
              <w:overflowPunct/>
              <w:topLinePunct w:val="0"/>
              <w:autoSpaceDE w:val="0"/>
              <w:autoSpaceDN w:val="0"/>
              <w:bidi w:val="0"/>
              <w:adjustRightInd w:val="0"/>
              <w:snapToGrid/>
              <w:spacing w:line="500" w:lineRule="exact"/>
              <w:textAlignment w:val="auto"/>
              <w:outlineLvl w:val="9"/>
              <w:rPr>
                <w:rFonts w:ascii="楷体" w:hAnsi="楷体" w:eastAsia="楷体" w:cs="仿宋e眠副浡渀."/>
                <w:b/>
                <w:color w:val="auto"/>
                <w:sz w:val="32"/>
                <w:szCs w:val="32"/>
              </w:rPr>
            </w:pPr>
            <w:r>
              <w:rPr>
                <w:rFonts w:hint="eastAsia" w:ascii="楷体" w:hAnsi="楷体" w:eastAsia="楷体" w:cs="仿宋e眠副浡渀."/>
                <w:b/>
                <w:color w:val="auto"/>
                <w:sz w:val="32"/>
                <w:szCs w:val="32"/>
              </w:rPr>
              <w:t>专栏三：文物保护与研究工程</w:t>
            </w:r>
          </w:p>
          <w:p>
            <w:pPr>
              <w:pStyle w:val="8"/>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outlineLvl w:val="9"/>
              <w:rPr>
                <w:rFonts w:ascii="楷体" w:hAnsi="楷体" w:eastAsia="楷体" w:cs="仿宋e眠副浡渀."/>
                <w:color w:val="auto"/>
                <w:sz w:val="32"/>
                <w:szCs w:val="32"/>
              </w:rPr>
            </w:pPr>
            <w:r>
              <w:rPr>
                <w:rFonts w:hint="eastAsia" w:ascii="楷体" w:hAnsi="楷体" w:eastAsia="楷体" w:cs="仿宋e眠副浡渀."/>
                <w:color w:val="auto"/>
                <w:sz w:val="32"/>
                <w:szCs w:val="32"/>
              </w:rPr>
              <w:t>1.推动省和各区域中心城市文物保护中心和重点实验室建设。</w:t>
            </w:r>
          </w:p>
          <w:p>
            <w:pPr>
              <w:pStyle w:val="8"/>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outlineLvl w:val="9"/>
              <w:rPr>
                <w:rFonts w:ascii="楷体" w:hAnsi="楷体" w:eastAsia="楷体" w:cs="仿宋e眠副浡渀."/>
                <w:color w:val="auto"/>
                <w:sz w:val="32"/>
                <w:szCs w:val="32"/>
              </w:rPr>
            </w:pPr>
            <w:r>
              <w:rPr>
                <w:rFonts w:hint="eastAsia" w:ascii="楷体" w:hAnsi="楷体" w:eastAsia="楷体" w:cs="仿宋e眠副浡渀."/>
                <w:color w:val="auto"/>
                <w:sz w:val="32"/>
                <w:szCs w:val="32"/>
              </w:rPr>
              <w:t>2.每年实施15个以上馆藏文物修复和预防性保护项目。</w:t>
            </w:r>
          </w:p>
          <w:p>
            <w:pPr>
              <w:pStyle w:val="8"/>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outlineLvl w:val="9"/>
              <w:rPr>
                <w:rStyle w:val="9"/>
                <w:rFonts w:ascii="楷体" w:hAnsi="楷体" w:eastAsia="楷体" w:cs="仿宋e眠副浡渀."/>
                <w:color w:val="auto"/>
                <w:sz w:val="32"/>
                <w:szCs w:val="32"/>
              </w:rPr>
            </w:pPr>
            <w:r>
              <w:rPr>
                <w:rFonts w:hint="eastAsia" w:ascii="楷体" w:hAnsi="楷体" w:eastAsia="楷体" w:cs="仿宋e眠副浡渀."/>
                <w:color w:val="auto"/>
                <w:sz w:val="32"/>
                <w:szCs w:val="32"/>
              </w:rPr>
              <w:t>3.每年实施10个以上文物博物馆领域课题研究。</w:t>
            </w:r>
          </w:p>
        </w:tc>
      </w:tr>
    </w:tbl>
    <w:p>
      <w:pPr>
        <w:pStyle w:val="7"/>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ascii="仿宋_GB2312" w:hAnsi="仿宋" w:eastAsia="仿宋_GB2312"/>
          <w:color w:val="auto"/>
          <w:sz w:val="32"/>
          <w:szCs w:val="32"/>
        </w:rPr>
      </w:pPr>
      <w:r>
        <w:rPr>
          <w:rFonts w:hint="eastAsia" w:ascii="楷体" w:hAnsi="楷体" w:eastAsia="楷体"/>
          <w:b/>
          <w:color w:val="auto"/>
          <w:sz w:val="32"/>
          <w:szCs w:val="32"/>
        </w:rPr>
        <w:t>（四）充分发挥博物馆教育功能。</w:t>
      </w:r>
      <w:r>
        <w:rPr>
          <w:rFonts w:hint="eastAsia" w:ascii="仿宋_GB2312" w:eastAsia="仿宋_GB2312" w:cs="仿宋e眠副浡渀."/>
          <w:color w:val="auto"/>
          <w:sz w:val="32"/>
          <w:szCs w:val="32"/>
        </w:rPr>
        <w:t>强化文教结合、馆校结合，支持博物馆研发独具特色的科学、艺术、人文、历史、工艺等实践学习项目，承接教学实践、社会教育以及研学旅行等活动</w:t>
      </w:r>
      <w:r>
        <w:rPr>
          <w:rFonts w:hint="eastAsia" w:ascii="仿宋_GB2312" w:hAnsi="仿宋" w:eastAsia="仿宋_GB2312"/>
          <w:color w:val="auto"/>
          <w:sz w:val="32"/>
          <w:szCs w:val="32"/>
        </w:rPr>
        <w:t>，推动博物馆进校园进课堂进教材</w:t>
      </w:r>
      <w:r>
        <w:rPr>
          <w:rFonts w:hint="eastAsia" w:ascii="仿宋_GB2312" w:eastAsia="仿宋_GB2312" w:cs="仿宋e眠副浡渀."/>
          <w:color w:val="auto"/>
          <w:sz w:val="32"/>
          <w:szCs w:val="32"/>
        </w:rPr>
        <w:t>。</w:t>
      </w:r>
      <w:r>
        <w:rPr>
          <w:rFonts w:hint="eastAsia" w:ascii="仿宋_GB2312" w:hAnsi="仿宋" w:eastAsia="仿宋_GB2312"/>
          <w:color w:val="auto"/>
          <w:sz w:val="32"/>
          <w:szCs w:val="32"/>
        </w:rPr>
        <w:t>完善中小学生利用博物馆学习长效机制</w:t>
      </w:r>
      <w:r>
        <w:rPr>
          <w:rFonts w:hint="eastAsia" w:ascii="仿宋_GB2312" w:eastAsia="仿宋_GB2312" w:cs="仿宋e眠副浡渀."/>
          <w:color w:val="auto"/>
          <w:sz w:val="32"/>
          <w:szCs w:val="32"/>
        </w:rPr>
        <w:t>。推广博物馆在线教育。开展博物馆教育示范点建设和示范项目评选。</w:t>
      </w:r>
      <w:r>
        <w:rPr>
          <w:rFonts w:hint="eastAsia" w:ascii="仿宋_GB2312" w:hAnsi="仿宋" w:eastAsia="仿宋_GB2312"/>
          <w:color w:val="auto"/>
          <w:sz w:val="32"/>
          <w:szCs w:val="32"/>
        </w:rPr>
        <w:t>引导社会力量参与博物馆教育项目研发实施，培育博物馆教育服务品牌。</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Times New Roman" w:eastAsia="仿宋_GB2312" w:cs="仿宋e眠副浡渀."/>
          <w:color w:val="auto"/>
          <w:sz w:val="32"/>
          <w:szCs w:val="32"/>
        </w:rPr>
      </w:pPr>
      <w:r>
        <w:rPr>
          <w:rFonts w:hint="eastAsia" w:ascii="楷体" w:hAnsi="楷体" w:eastAsia="楷体"/>
          <w:b/>
          <w:color w:val="auto"/>
          <w:sz w:val="32"/>
          <w:szCs w:val="32"/>
        </w:rPr>
        <w:t>（五）加快推进智慧博物馆建设。</w:t>
      </w:r>
      <w:r>
        <w:rPr>
          <w:rFonts w:hint="eastAsia" w:ascii="仿宋_GB2312" w:hAnsi="Times New Roman" w:eastAsia="仿宋_GB2312" w:cs="仿宋e眠副浡渀."/>
          <w:color w:val="auto"/>
          <w:sz w:val="32"/>
          <w:szCs w:val="32"/>
        </w:rPr>
        <w:t>加快智慧博物馆发展，增强智慧保护、管理和服务能力，强化信息公开，建设全省博物馆网络矩阵。充分利用互联网、物联网、大数据、区块链、5G技术、云计算、AR/VR等信息技术，促进博物馆公共服务的便捷化、精细化、人性化。加强全省博物馆的大数据采集和应用，提高数据应用的及时性和准确性。</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8"/>
              <w:keepNext w:val="0"/>
              <w:keepLines w:val="0"/>
              <w:pageBreakBefore w:val="0"/>
              <w:widowControl w:val="0"/>
              <w:kinsoku/>
              <w:wordWrap/>
              <w:overflowPunct/>
              <w:topLinePunct w:val="0"/>
              <w:autoSpaceDE w:val="0"/>
              <w:autoSpaceDN w:val="0"/>
              <w:bidi w:val="0"/>
              <w:adjustRightInd w:val="0"/>
              <w:snapToGrid/>
              <w:spacing w:line="500" w:lineRule="exact"/>
              <w:textAlignment w:val="auto"/>
              <w:outlineLvl w:val="9"/>
              <w:rPr>
                <w:rFonts w:ascii="楷体" w:hAnsi="楷体" w:eastAsia="楷体" w:cs="仿宋e眠副浡渀."/>
                <w:b/>
                <w:color w:val="auto"/>
                <w:sz w:val="32"/>
                <w:szCs w:val="32"/>
              </w:rPr>
            </w:pPr>
            <w:r>
              <w:rPr>
                <w:rFonts w:hint="eastAsia" w:ascii="楷体" w:hAnsi="楷体" w:eastAsia="楷体" w:cs="仿宋e眠副浡渀."/>
                <w:b/>
                <w:color w:val="auto"/>
                <w:sz w:val="32"/>
                <w:szCs w:val="32"/>
              </w:rPr>
              <w:t>专栏四：智慧博物馆建设工程</w:t>
            </w:r>
          </w:p>
          <w:p>
            <w:pPr>
              <w:pStyle w:val="8"/>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outlineLvl w:val="9"/>
              <w:rPr>
                <w:rFonts w:ascii="楷体" w:hAnsi="楷体" w:eastAsia="楷体" w:cs="仿宋e眠副浡渀."/>
                <w:color w:val="auto"/>
                <w:sz w:val="32"/>
                <w:szCs w:val="32"/>
              </w:rPr>
            </w:pPr>
            <w:r>
              <w:rPr>
                <w:rFonts w:hint="eastAsia" w:ascii="楷体" w:hAnsi="楷体" w:eastAsia="楷体" w:cs="仿宋e眠副浡渀."/>
                <w:color w:val="auto"/>
                <w:sz w:val="32"/>
                <w:szCs w:val="32"/>
              </w:rPr>
              <w:t>1.完善四川省文物局政务一体化平台，集成博物馆信息报送、可移动文物普查数据管理应用、可移动文物保护项目管理等功能。</w:t>
            </w:r>
          </w:p>
          <w:p>
            <w:pPr>
              <w:pStyle w:val="8"/>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outlineLvl w:val="9"/>
              <w:rPr>
                <w:rStyle w:val="9"/>
                <w:rFonts w:ascii="楷体" w:hAnsi="楷体" w:eastAsia="楷体" w:cs="仿宋e眠副浡渀."/>
                <w:color w:val="auto"/>
                <w:sz w:val="32"/>
                <w:szCs w:val="32"/>
              </w:rPr>
            </w:pPr>
            <w:r>
              <w:rPr>
                <w:rFonts w:hint="eastAsia" w:ascii="楷体" w:hAnsi="楷体" w:eastAsia="楷体" w:cs="仿宋e眠副浡渀."/>
                <w:color w:val="auto"/>
                <w:sz w:val="32"/>
                <w:szCs w:val="32"/>
              </w:rPr>
              <w:t>2.每年实施10个以上博物馆智慧保护、管理及服务项目。</w:t>
            </w:r>
          </w:p>
        </w:tc>
      </w:tr>
    </w:tbl>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481" w:firstLineChars="150"/>
        <w:textAlignment w:val="auto"/>
        <w:outlineLvl w:val="9"/>
        <w:rPr>
          <w:rFonts w:ascii="仿宋_GB2312" w:hAnsi="Times New Roman" w:eastAsia="仿宋_GB2312" w:cs="仿宋e眠副浡渀."/>
          <w:color w:val="auto"/>
          <w:kern w:val="2"/>
          <w:sz w:val="32"/>
          <w:szCs w:val="32"/>
        </w:rPr>
      </w:pPr>
      <w:r>
        <w:rPr>
          <w:rFonts w:hint="eastAsia" w:ascii="楷体" w:hAnsi="楷体" w:eastAsia="楷体"/>
          <w:b/>
          <w:color w:val="auto"/>
          <w:sz w:val="32"/>
          <w:szCs w:val="32"/>
        </w:rPr>
        <w:t>（六）加大文创开发力度。</w:t>
      </w:r>
      <w:r>
        <w:rPr>
          <w:rFonts w:hint="eastAsia" w:ascii="仿宋" w:hAnsi="仿宋" w:eastAsia="仿宋"/>
          <w:color w:val="auto"/>
          <w:sz w:val="32"/>
          <w:szCs w:val="32"/>
        </w:rPr>
        <w:t>加强</w:t>
      </w:r>
      <w:r>
        <w:rPr>
          <w:rFonts w:hint="eastAsia" w:ascii="仿宋_GB2312" w:hAnsi="Times New Roman" w:eastAsia="仿宋_GB2312" w:cs="仿宋e眠副浡渀."/>
          <w:color w:val="auto"/>
          <w:kern w:val="2"/>
          <w:sz w:val="32"/>
          <w:szCs w:val="32"/>
        </w:rPr>
        <w:t>文物资源梳理和研究，建立健全</w:t>
      </w:r>
      <w:r>
        <w:rPr>
          <w:rFonts w:hint="eastAsia" w:ascii="仿宋_GB2312" w:hAnsi="仿宋" w:eastAsia="仿宋_GB2312"/>
          <w:color w:val="auto"/>
          <w:sz w:val="32"/>
          <w:szCs w:val="32"/>
        </w:rPr>
        <w:t>博物馆藏品资源知识产权授权</w:t>
      </w:r>
      <w:r>
        <w:rPr>
          <w:rFonts w:hint="eastAsia" w:ascii="仿宋_GB2312" w:hAnsi="Times New Roman" w:eastAsia="仿宋_GB2312" w:cs="仿宋e眠副浡渀."/>
          <w:color w:val="auto"/>
          <w:kern w:val="2"/>
          <w:sz w:val="32"/>
          <w:szCs w:val="32"/>
        </w:rPr>
        <w:t>机制。广泛应用多种载体和表现形式，开发兼具艺术性、趣味性和实用性，满足现代生活需求的文化创意系列产品，打造文化创意产品优秀品牌。</w:t>
      </w:r>
      <w:r>
        <w:rPr>
          <w:rFonts w:hint="eastAsia" w:ascii="仿宋_GB2312" w:hAnsi="仿宋" w:eastAsia="仿宋_GB2312"/>
          <w:color w:val="auto"/>
          <w:sz w:val="32"/>
          <w:szCs w:val="32"/>
        </w:rPr>
        <w:t>加强博物馆数字资源开发利用，创新数字文化产品和服务，提高内容生产质量，推动博物馆虚拟展览进入城市公共空间。</w:t>
      </w:r>
      <w:r>
        <w:rPr>
          <w:rFonts w:hint="eastAsia" w:ascii="仿宋_GB2312" w:hAnsi="Times New Roman" w:eastAsia="仿宋_GB2312" w:cs="仿宋e眠副浡渀."/>
          <w:color w:val="auto"/>
          <w:kern w:val="2"/>
          <w:sz w:val="32"/>
          <w:szCs w:val="32"/>
        </w:rPr>
        <w:t>深入推进博物馆文创开发试点，探索创新博物馆文创开发管理机制。鼓励开展宣传推广，举办和参加文创展会、文创比赛等活动。鼓励馆际之间优势互补、资源共享，进行文创产品开发、销售、推介等全面合作。</w:t>
      </w:r>
      <w:r>
        <w:rPr>
          <w:rFonts w:ascii="仿宋_GB2312" w:hAnsi="Times New Roman" w:eastAsia="仿宋_GB2312" w:cs="仿宋e眠副浡渀."/>
          <w:color w:val="auto"/>
          <w:kern w:val="2"/>
          <w:sz w:val="32"/>
          <w:szCs w:val="32"/>
        </w:rPr>
        <w:t>建立多渠道、多元化投入体系，支持文化创意产品开发。创新财政支持方式，采取贷款贴息、以奖代补等方式，支持文化创意产品开发。</w:t>
      </w:r>
      <w:r>
        <w:rPr>
          <w:rFonts w:hint="eastAsia" w:ascii="仿宋_GB2312" w:hAnsi="仿宋" w:eastAsia="仿宋_GB2312"/>
          <w:color w:val="auto"/>
          <w:sz w:val="32"/>
          <w:szCs w:val="32"/>
        </w:rPr>
        <w:t>建设一批博物馆文化创意产业示范基地（园区）。</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2" w:firstLineChars="200"/>
        <w:textAlignment w:val="auto"/>
        <w:outlineLvl w:val="9"/>
        <w:rPr>
          <w:rFonts w:ascii="楷体" w:hAnsi="楷体" w:eastAsia="楷体"/>
          <w:b/>
          <w:color w:val="auto"/>
          <w:sz w:val="32"/>
          <w:szCs w:val="32"/>
        </w:rPr>
      </w:pPr>
      <w:r>
        <w:rPr>
          <w:rFonts w:hint="eastAsia" w:ascii="楷体" w:hAnsi="楷体" w:eastAsia="楷体"/>
          <w:b/>
          <w:color w:val="auto"/>
          <w:sz w:val="32"/>
          <w:szCs w:val="32"/>
        </w:rPr>
        <w:t>（七）延展</w:t>
      </w:r>
      <w:r>
        <w:rPr>
          <w:rFonts w:ascii="楷体" w:hAnsi="楷体" w:eastAsia="楷体"/>
          <w:b/>
          <w:color w:val="auto"/>
          <w:sz w:val="32"/>
          <w:szCs w:val="32"/>
        </w:rPr>
        <w:t>传播</w:t>
      </w:r>
      <w:r>
        <w:rPr>
          <w:rFonts w:hint="eastAsia" w:ascii="楷体" w:hAnsi="楷体" w:eastAsia="楷体"/>
          <w:b/>
          <w:color w:val="auto"/>
          <w:sz w:val="32"/>
          <w:szCs w:val="32"/>
        </w:rPr>
        <w:t>和社会服务。</w:t>
      </w:r>
      <w:r>
        <w:rPr>
          <w:rFonts w:hint="eastAsia" w:ascii="仿宋_GB2312" w:hAnsi="仿宋" w:eastAsia="仿宋_GB2312"/>
          <w:color w:val="auto"/>
          <w:sz w:val="32"/>
          <w:szCs w:val="32"/>
        </w:rPr>
        <w:t>推广“无边界博物馆”“流动博物馆”。推动博物馆文化扶贫，增加展览、教育活动进乡村频次。深化博物馆与社区合作，进一步融入公众日常生活。鼓励有条件的博物馆结合实际开展错峰延时开放。</w:t>
      </w:r>
      <w:r>
        <w:rPr>
          <w:rFonts w:hint="eastAsia" w:ascii="仿宋_GB2312" w:eastAsia="仿宋_GB2312" w:cs="仿宋e眠副浡渀."/>
          <w:color w:val="auto"/>
          <w:sz w:val="32"/>
          <w:szCs w:val="32"/>
        </w:rPr>
        <w:t>深化文旅融合，完善服务设施，增强服务能力，</w:t>
      </w:r>
      <w:r>
        <w:rPr>
          <w:rFonts w:hint="eastAsia" w:ascii="仿宋_GB2312" w:hAnsi="仿宋" w:eastAsia="仿宋_GB2312"/>
          <w:color w:val="auto"/>
          <w:sz w:val="32"/>
          <w:szCs w:val="32"/>
        </w:rPr>
        <w:t>推广博物馆标准化服务规程。鼓励</w:t>
      </w:r>
      <w:r>
        <w:rPr>
          <w:rFonts w:hint="eastAsia" w:ascii="仿宋_GB2312" w:eastAsia="仿宋_GB2312" w:cs="仿宋e眠副浡渀."/>
          <w:color w:val="auto"/>
          <w:sz w:val="32"/>
          <w:szCs w:val="32"/>
        </w:rPr>
        <w:t>有条件的博物馆组织开展节庆活动。</w:t>
      </w:r>
      <w:r>
        <w:rPr>
          <w:rFonts w:hint="eastAsia" w:ascii="仿宋_GB2312" w:hAnsi="仿宋" w:eastAsia="仿宋_GB2312"/>
          <w:color w:val="auto"/>
          <w:sz w:val="32"/>
          <w:szCs w:val="32"/>
        </w:rPr>
        <w:t>实施四川文物全媒体传播计划，支持博物馆与各类媒体联合制播精品节目。加强观众调查，推广分众传播，充分利用现代化信息手段，优化参观前、参观中、参观后的全过程传播服务。</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2" w:firstLineChars="200"/>
        <w:textAlignment w:val="auto"/>
        <w:outlineLvl w:val="9"/>
        <w:rPr>
          <w:rFonts w:ascii="仿宋_GB2312" w:hAnsi="Verdana" w:eastAsia="仿宋_GB2312" w:cs="Calibri"/>
          <w:color w:val="auto"/>
          <w:kern w:val="2"/>
          <w:sz w:val="32"/>
          <w:szCs w:val="32"/>
        </w:rPr>
      </w:pPr>
      <w:r>
        <w:rPr>
          <w:rFonts w:hint="eastAsia" w:ascii="楷体" w:hAnsi="楷体" w:eastAsia="楷体"/>
          <w:b/>
          <w:color w:val="auto"/>
          <w:sz w:val="32"/>
          <w:szCs w:val="32"/>
        </w:rPr>
        <w:t>（八）强化国际交流合作。</w:t>
      </w:r>
      <w:r>
        <w:rPr>
          <w:rFonts w:hint="eastAsia" w:ascii="仿宋_GB2312" w:hAnsi="Verdana" w:eastAsia="仿宋_GB2312" w:cs="Calibri"/>
          <w:color w:val="auto"/>
          <w:kern w:val="2"/>
          <w:sz w:val="32"/>
          <w:szCs w:val="32"/>
        </w:rPr>
        <w:t>加强与境外文博机构、有关国际组织在科技保护、人才培养、项目合作等方面的交流合作。积极融入“一带一路”文化遗产长廊建设。加快“四川文化走出去”步伐，整合文物资源，拓展外联渠道，加强策划推荐，加强文物境外展览工作力度。持续推进四川古代文明全球巡回展览。加强文明交流互鉴，</w:t>
      </w:r>
      <w:r>
        <w:rPr>
          <w:rFonts w:hint="eastAsia" w:ascii="仿宋" w:hAnsi="仿宋" w:eastAsia="仿宋"/>
          <w:snapToGrid w:val="0"/>
          <w:color w:val="auto"/>
          <w:sz w:val="32"/>
          <w:szCs w:val="32"/>
        </w:rPr>
        <w:t>满足多样化文化需要，</w:t>
      </w:r>
      <w:r>
        <w:rPr>
          <w:rFonts w:hint="eastAsia" w:ascii="仿宋_GB2312" w:hAnsi="Verdana" w:eastAsia="仿宋_GB2312" w:cs="Calibri"/>
          <w:color w:val="auto"/>
          <w:kern w:val="2"/>
          <w:sz w:val="32"/>
          <w:szCs w:val="32"/>
        </w:rPr>
        <w:t>合作策划举办或引进一批高水平文物交流展览。</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2" w:firstLineChars="200"/>
        <w:textAlignment w:val="auto"/>
        <w:outlineLvl w:val="9"/>
        <w:rPr>
          <w:rFonts w:eastAsia="仿宋_GB2312" w:cs="仿宋e眠副浡渀."/>
          <w:color w:val="auto"/>
          <w:sz w:val="32"/>
          <w:szCs w:val="32"/>
        </w:rPr>
      </w:pPr>
      <w:r>
        <w:rPr>
          <w:rFonts w:hint="eastAsia" w:ascii="楷体" w:hAnsi="楷体" w:eastAsia="楷体"/>
          <w:b/>
          <w:color w:val="auto"/>
          <w:sz w:val="32"/>
          <w:szCs w:val="32"/>
        </w:rPr>
        <w:t>（九）创新体制机制。</w:t>
      </w:r>
      <w:r>
        <w:rPr>
          <w:rFonts w:hint="eastAsia" w:eastAsia="仿宋_GB2312" w:cs="仿宋e眠副浡渀."/>
          <w:color w:val="auto"/>
          <w:sz w:val="32"/>
          <w:szCs w:val="32"/>
        </w:rPr>
        <w:t>探索推进博物馆法人治理结构改革，</w:t>
      </w:r>
      <w:r>
        <w:rPr>
          <w:rFonts w:hint="eastAsia" w:ascii="仿宋_GB2312" w:hAnsi="仿宋" w:eastAsia="仿宋_GB2312"/>
          <w:color w:val="auto"/>
          <w:sz w:val="32"/>
          <w:szCs w:val="32"/>
        </w:rPr>
        <w:t>加快推进博物馆理事会制度建设。深</w:t>
      </w:r>
      <w:r>
        <w:rPr>
          <w:rFonts w:hint="eastAsia" w:eastAsia="仿宋_GB2312" w:cs="仿宋e眠副浡渀."/>
          <w:color w:val="auto"/>
          <w:sz w:val="32"/>
          <w:szCs w:val="32"/>
        </w:rPr>
        <w:t>化博物馆人事制度改革，切实增强博物馆在选人用人、职称评审、</w:t>
      </w:r>
      <w:r>
        <w:rPr>
          <w:rFonts w:eastAsia="仿宋_GB2312" w:cs="仿宋e眠副浡渀."/>
          <w:color w:val="auto"/>
          <w:sz w:val="32"/>
          <w:szCs w:val="32"/>
        </w:rPr>
        <w:t>岗位设置</w:t>
      </w:r>
      <w:r>
        <w:rPr>
          <w:rFonts w:hint="eastAsia" w:eastAsia="仿宋_GB2312" w:cs="仿宋e眠副浡渀."/>
          <w:color w:val="auto"/>
          <w:sz w:val="32"/>
          <w:szCs w:val="32"/>
        </w:rPr>
        <w:t>等方面的自主权。落实博物馆从业人员享受科技创新扶持政策。探索实行项目制和协议工资、项目工资制度。强化激励机制，增强发展能力。鼓励免费开放博物馆在确保基本陈列免费的基础上，举办收费的临时展览，增强文化产品供给能力。鼓励博物馆自主研发或引入社会机构共同研发和实施优质教育项目，可面向服务对象适当收取费用。鼓励博物馆在确保非营利性质基础上，向观众提供餐饮等平价优质的便民服务。</w:t>
      </w:r>
      <w:r>
        <w:rPr>
          <w:rFonts w:hint="eastAsia" w:ascii="仿宋_GB2312" w:hAnsi="仿宋" w:eastAsia="仿宋_GB2312"/>
          <w:color w:val="auto"/>
          <w:sz w:val="32"/>
          <w:szCs w:val="32"/>
        </w:rPr>
        <w:t>落实博物馆接受捐赠等免税政策。</w:t>
      </w:r>
      <w:r>
        <w:rPr>
          <w:rFonts w:hint="eastAsia" w:eastAsia="仿宋_GB2312" w:cs="仿宋e眠副浡渀."/>
          <w:color w:val="auto"/>
          <w:sz w:val="32"/>
          <w:szCs w:val="32"/>
        </w:rPr>
        <w:t>加大资源开放和社会合作，鼓励多元主体参与博物馆建设发展，推进文、商、旅等产业融合发展，加强现代科技手段应用，为博物馆文化资源的创造性转化、创新性发展释放活力。</w:t>
      </w:r>
      <w:r>
        <w:rPr>
          <w:rFonts w:hint="eastAsia" w:ascii="仿宋_GB2312" w:hAnsi="仿宋" w:eastAsia="仿宋_GB2312"/>
          <w:color w:val="auto"/>
          <w:sz w:val="32"/>
          <w:szCs w:val="32"/>
        </w:rPr>
        <w:t>创新博物馆发展投融资机制，在加强监管、防范风险的</w:t>
      </w:r>
      <w:r>
        <w:rPr>
          <w:rFonts w:ascii="仿宋_GB2312" w:hAnsi="仿宋" w:eastAsia="仿宋_GB2312"/>
          <w:color w:val="auto"/>
          <w:sz w:val="32"/>
          <w:szCs w:val="32"/>
        </w:rPr>
        <w:t>前提下</w:t>
      </w:r>
      <w:r>
        <w:rPr>
          <w:rFonts w:hint="eastAsia" w:ascii="仿宋_GB2312" w:hAnsi="仿宋" w:eastAsia="仿宋_GB2312"/>
          <w:color w:val="auto"/>
          <w:sz w:val="32"/>
          <w:szCs w:val="32"/>
        </w:rPr>
        <w:t>，鼓励设立博物馆发展基金并实行市场化运作。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仿宋e眠副浡渀.">
    <w:altName w:val="宋体"/>
    <w:panose1 w:val="00000000000000000000"/>
    <w:charset w:val="86"/>
    <w:family w:val="roman"/>
    <w:pitch w:val="default"/>
    <w:sig w:usb0="00000000" w:usb1="00000000" w:usb2="0000001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EB3BE7"/>
    <w:rsid w:val="7EEB3BE7"/>
    <w:rsid w:val="FFFFDD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7">
    <w:name w:val="List Paragraph"/>
    <w:basedOn w:val="1"/>
    <w:qFormat/>
    <w:uiPriority w:val="34"/>
    <w:pPr>
      <w:ind w:firstLine="420" w:firstLineChars="200"/>
    </w:pPr>
  </w:style>
  <w:style w:type="paragraph" w:customStyle="1" w:styleId="8">
    <w:name w:val="Default"/>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character" w:customStyle="1" w:styleId="9">
    <w:name w:val="apple-style-spa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2019-12-20T17:50:00Z</dcterms:created>
  <dc:creator>NTKO</dc:creator>
  <cp:lastModifiedBy>user</cp:lastModifiedBy>
  <dcterms:modified xsi:type="dcterms:W3CDTF">2022-07-18T08:50:15Z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